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2A77F" w14:textId="77777777" w:rsidR="00437CB4" w:rsidRPr="0077698E" w:rsidRDefault="00437CB4" w:rsidP="00437CB4">
      <w:pPr>
        <w:pStyle w:val="Body"/>
        <w:rPr>
          <w:rFonts w:ascii="Arial" w:hAnsi="Arial" w:cs="Arial"/>
          <w:b/>
          <w:bCs/>
          <w:sz w:val="20"/>
          <w:szCs w:val="20"/>
        </w:rPr>
      </w:pPr>
      <w:r w:rsidRPr="0077698E">
        <w:rPr>
          <w:rFonts w:ascii="Arial" w:hAnsi="Arial" w:cs="Arial"/>
          <w:b/>
          <w:bCs/>
          <w:sz w:val="20"/>
          <w:szCs w:val="20"/>
        </w:rPr>
        <w:t>For Immediate Release</w:t>
      </w:r>
    </w:p>
    <w:p w14:paraId="6D608541" w14:textId="77777777" w:rsidR="00437CB4" w:rsidRPr="0077698E" w:rsidRDefault="00437CB4" w:rsidP="00437CB4">
      <w:pPr>
        <w:pStyle w:val="Body"/>
        <w:rPr>
          <w:rFonts w:ascii="Arial" w:hAnsi="Arial" w:cs="Arial"/>
          <w:sz w:val="20"/>
          <w:szCs w:val="20"/>
        </w:rPr>
      </w:pPr>
      <w:r w:rsidRPr="0077698E">
        <w:rPr>
          <w:rFonts w:ascii="Arial" w:hAnsi="Arial" w:cs="Arial"/>
          <w:sz w:val="20"/>
          <w:szCs w:val="20"/>
        </w:rPr>
        <w:t>Contact: Karolyn Raphael</w:t>
      </w:r>
    </w:p>
    <w:p w14:paraId="2AE511D0" w14:textId="77777777" w:rsidR="00437CB4" w:rsidRPr="0077698E" w:rsidRDefault="00437CB4" w:rsidP="00437CB4">
      <w:pPr>
        <w:pStyle w:val="Body"/>
        <w:rPr>
          <w:rFonts w:ascii="Arial" w:hAnsi="Arial" w:cs="Arial"/>
          <w:sz w:val="20"/>
          <w:szCs w:val="20"/>
        </w:rPr>
      </w:pPr>
      <w:r w:rsidRPr="0077698E">
        <w:rPr>
          <w:rFonts w:ascii="Arial" w:hAnsi="Arial" w:cs="Arial"/>
          <w:sz w:val="20"/>
          <w:szCs w:val="20"/>
        </w:rPr>
        <w:t>Winger Marketing</w:t>
      </w:r>
    </w:p>
    <w:p w14:paraId="30E93480" w14:textId="77777777" w:rsidR="00437CB4" w:rsidRPr="0077698E" w:rsidRDefault="00437CB4" w:rsidP="00437CB4">
      <w:pPr>
        <w:pStyle w:val="Body"/>
        <w:rPr>
          <w:rFonts w:ascii="Arial" w:hAnsi="Arial" w:cs="Arial"/>
          <w:sz w:val="20"/>
          <w:szCs w:val="20"/>
        </w:rPr>
      </w:pPr>
      <w:r w:rsidRPr="0077698E">
        <w:rPr>
          <w:rFonts w:ascii="Arial" w:hAnsi="Arial" w:cs="Arial"/>
          <w:sz w:val="20"/>
          <w:szCs w:val="20"/>
        </w:rPr>
        <w:t>(312) 494-0422</w:t>
      </w:r>
    </w:p>
    <w:p w14:paraId="3559755D" w14:textId="530D79E1" w:rsidR="00437CB4" w:rsidRDefault="00786BFC" w:rsidP="0077698E">
      <w:pPr>
        <w:pStyle w:val="Body"/>
        <w:rPr>
          <w:rStyle w:val="Hyperlink0"/>
          <w:rFonts w:ascii="Arial" w:hAnsi="Arial" w:cs="Arial"/>
          <w:sz w:val="20"/>
          <w:szCs w:val="20"/>
        </w:rPr>
      </w:pPr>
      <w:hyperlink r:id="rId8" w:history="1">
        <w:r w:rsidR="00437CB4" w:rsidRPr="0077698E">
          <w:rPr>
            <w:rStyle w:val="Hyperlink0"/>
            <w:rFonts w:ascii="Arial" w:hAnsi="Arial" w:cs="Arial"/>
            <w:sz w:val="20"/>
            <w:szCs w:val="20"/>
          </w:rPr>
          <w:t>karolyn@wingermarketing.com</w:t>
        </w:r>
      </w:hyperlink>
    </w:p>
    <w:p w14:paraId="47098886" w14:textId="77777777" w:rsidR="0077698E" w:rsidRPr="0077698E" w:rsidRDefault="0077698E" w:rsidP="0077698E">
      <w:pPr>
        <w:pStyle w:val="Body"/>
        <w:rPr>
          <w:rFonts w:ascii="Arial" w:hAnsi="Arial" w:cs="Arial"/>
          <w:sz w:val="20"/>
          <w:szCs w:val="20"/>
        </w:rPr>
      </w:pPr>
    </w:p>
    <w:p w14:paraId="6695F739" w14:textId="10F71EDD" w:rsidR="0083129C" w:rsidRDefault="00F608F2" w:rsidP="0083129C">
      <w:pPr>
        <w:spacing w:after="0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HSG </w:t>
      </w:r>
      <w:r w:rsidR="0083129C">
        <w:rPr>
          <w:rFonts w:ascii="Arial" w:hAnsi="Arial" w:cs="Arial"/>
          <w:b/>
          <w:bCs/>
          <w:sz w:val="28"/>
          <w:szCs w:val="28"/>
        </w:rPr>
        <w:t xml:space="preserve">Newly Published </w:t>
      </w:r>
      <w:r w:rsidR="00D445DB">
        <w:rPr>
          <w:rFonts w:ascii="Arial" w:hAnsi="Arial" w:cs="Arial"/>
          <w:b/>
          <w:bCs/>
          <w:sz w:val="28"/>
          <w:szCs w:val="28"/>
        </w:rPr>
        <w:t xml:space="preserve">Case Study </w:t>
      </w:r>
      <w:r w:rsidR="0083129C">
        <w:rPr>
          <w:rFonts w:ascii="Arial" w:hAnsi="Arial" w:cs="Arial"/>
          <w:b/>
          <w:bCs/>
          <w:sz w:val="28"/>
          <w:szCs w:val="28"/>
        </w:rPr>
        <w:t xml:space="preserve">Demonstrates the Value of </w:t>
      </w:r>
    </w:p>
    <w:p w14:paraId="78DFB802" w14:textId="3E163A10" w:rsidR="0083129C" w:rsidRPr="0083129C" w:rsidRDefault="0083129C" w:rsidP="0083129C">
      <w:pPr>
        <w:spacing w:after="0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Conducting an Ambulatory Revenue Cycle Assessment</w:t>
      </w:r>
    </w:p>
    <w:p w14:paraId="37F76455" w14:textId="55A501EC" w:rsidR="00F608F2" w:rsidRDefault="00F608F2" w:rsidP="009F3C52">
      <w:pPr>
        <w:pStyle w:val="Body"/>
        <w:jc w:val="center"/>
        <w:rPr>
          <w:rFonts w:ascii="Arial" w:hAnsi="Arial" w:cs="Arial"/>
          <w:b/>
          <w:bCs/>
          <w:sz w:val="28"/>
          <w:szCs w:val="28"/>
        </w:rPr>
      </w:pPr>
    </w:p>
    <w:p w14:paraId="2C831F72" w14:textId="77777777" w:rsidR="000F6D78" w:rsidRDefault="0083129C" w:rsidP="000F6D78">
      <w:pPr>
        <w:pStyle w:val="Body"/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Healthcare Consultants at </w:t>
      </w:r>
      <w:r w:rsidR="009F3C52" w:rsidRPr="00F608F2">
        <w:rPr>
          <w:rFonts w:ascii="Arial" w:hAnsi="Arial" w:cs="Arial"/>
          <w:i/>
          <w:iCs/>
          <w:sz w:val="24"/>
          <w:szCs w:val="24"/>
        </w:rPr>
        <w:t>HSG</w:t>
      </w:r>
      <w:r w:rsidR="00C34728" w:rsidRPr="00F608F2"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Support a Regional Healthcare System Turnaround, </w:t>
      </w:r>
    </w:p>
    <w:p w14:paraId="2F32BD57" w14:textId="4CCAD88F" w:rsidR="00F608F2" w:rsidRPr="0083129C" w:rsidRDefault="0083129C" w:rsidP="000F6D78">
      <w:pPr>
        <w:pStyle w:val="Body"/>
        <w:jc w:val="center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Reducing Denial Rates by 50 Percent</w:t>
      </w:r>
      <w:r w:rsidR="000F6D78">
        <w:rPr>
          <w:rFonts w:ascii="Arial" w:hAnsi="Arial" w:cs="Arial"/>
          <w:i/>
          <w:iCs/>
          <w:sz w:val="24"/>
          <w:szCs w:val="24"/>
        </w:rPr>
        <w:t xml:space="preserve"> During the Process</w:t>
      </w:r>
    </w:p>
    <w:p w14:paraId="28BAFDA2" w14:textId="58C618D2" w:rsidR="00437CB4" w:rsidRPr="00EB1A4E" w:rsidRDefault="00437CB4" w:rsidP="009E7653">
      <w:pPr>
        <w:pStyle w:val="Body"/>
        <w:rPr>
          <w:rFonts w:ascii="Arial" w:hAnsi="Arial" w:cs="Arial"/>
          <w:b/>
          <w:bCs/>
          <w:sz w:val="28"/>
          <w:szCs w:val="28"/>
        </w:rPr>
      </w:pPr>
    </w:p>
    <w:p w14:paraId="48EE75EA" w14:textId="56979D3E" w:rsidR="0029148B" w:rsidRDefault="00437CB4" w:rsidP="00F608F2">
      <w:pPr>
        <w:pStyle w:val="Body"/>
        <w:contextualSpacing/>
        <w:rPr>
          <w:rFonts w:ascii="Calibri" w:hAnsi="Calibri" w:cs="Calibri"/>
          <w:color w:val="auto"/>
        </w:rPr>
      </w:pPr>
      <w:r w:rsidRPr="00EB1A4E">
        <w:rPr>
          <w:rFonts w:ascii="Calibri" w:hAnsi="Calibri" w:cs="Calibri"/>
          <w:b/>
          <w:bCs/>
          <w:color w:val="auto"/>
        </w:rPr>
        <w:t>Louisville, KY (</w:t>
      </w:r>
      <w:r w:rsidR="00195F6D">
        <w:rPr>
          <w:rFonts w:ascii="Calibri" w:hAnsi="Calibri" w:cs="Calibri"/>
          <w:b/>
          <w:bCs/>
          <w:color w:val="auto"/>
        </w:rPr>
        <w:t>December 2</w:t>
      </w:r>
      <w:r w:rsidR="00F608F2">
        <w:rPr>
          <w:rFonts w:ascii="Calibri" w:hAnsi="Calibri" w:cs="Calibri"/>
          <w:b/>
          <w:bCs/>
          <w:color w:val="auto"/>
        </w:rPr>
        <w:t>, 2021</w:t>
      </w:r>
      <w:r w:rsidRPr="00EB1A4E">
        <w:rPr>
          <w:rFonts w:ascii="Calibri" w:hAnsi="Calibri" w:cs="Calibri"/>
          <w:b/>
          <w:bCs/>
          <w:color w:val="auto"/>
        </w:rPr>
        <w:t>)</w:t>
      </w:r>
      <w:r w:rsidRPr="00EB1A4E">
        <w:rPr>
          <w:rFonts w:ascii="Calibri" w:hAnsi="Calibri" w:cs="Calibri"/>
          <w:color w:val="auto"/>
        </w:rPr>
        <w:t xml:space="preserve"> </w:t>
      </w:r>
      <w:r w:rsidR="00625BD5" w:rsidRPr="00EB1A4E">
        <w:rPr>
          <w:rFonts w:ascii="Calibri" w:hAnsi="Calibri" w:cs="Calibri"/>
          <w:color w:val="auto"/>
        </w:rPr>
        <w:t>–</w:t>
      </w:r>
      <w:r w:rsidR="00563B36">
        <w:rPr>
          <w:rFonts w:ascii="Calibri" w:hAnsi="Calibri" w:cs="Calibri"/>
          <w:color w:val="auto"/>
        </w:rPr>
        <w:t xml:space="preserve"> </w:t>
      </w:r>
      <w:r w:rsidR="000F6D78">
        <w:rPr>
          <w:rFonts w:ascii="Calibri" w:hAnsi="Calibri" w:cs="Calibri"/>
          <w:color w:val="auto"/>
        </w:rPr>
        <w:t>As healthcare systems continue to acquire and grow employed provider networks</w:t>
      </w:r>
      <w:r w:rsidR="00CF492B">
        <w:rPr>
          <w:rFonts w:ascii="Calibri" w:hAnsi="Calibri" w:cs="Calibri"/>
          <w:color w:val="auto"/>
        </w:rPr>
        <w:t>, they must also continue to invest in operational and cultural resources</w:t>
      </w:r>
      <w:r w:rsidR="00195F6D">
        <w:rPr>
          <w:rFonts w:ascii="Calibri" w:hAnsi="Calibri" w:cs="Calibri"/>
          <w:color w:val="auto"/>
        </w:rPr>
        <w:t xml:space="preserve"> at their hospitals</w:t>
      </w:r>
      <w:r w:rsidR="00CF492B">
        <w:rPr>
          <w:rFonts w:ascii="Calibri" w:hAnsi="Calibri" w:cs="Calibri"/>
          <w:color w:val="auto"/>
        </w:rPr>
        <w:t xml:space="preserve">. HSG, a national healthcare consultancy with </w:t>
      </w:r>
      <w:r w:rsidR="00D445DB">
        <w:rPr>
          <w:rFonts w:ascii="Calibri" w:hAnsi="Calibri" w:cs="Calibri"/>
          <w:color w:val="auto"/>
        </w:rPr>
        <w:t xml:space="preserve">expertise in strategic planning as well as </w:t>
      </w:r>
      <w:r w:rsidR="002E18A1">
        <w:rPr>
          <w:rFonts w:ascii="Calibri" w:hAnsi="Calibri" w:cs="Calibri"/>
          <w:color w:val="auto"/>
        </w:rPr>
        <w:t>employed medical group performance improvement</w:t>
      </w:r>
      <w:r w:rsidR="00D445DB">
        <w:rPr>
          <w:rFonts w:ascii="Calibri" w:hAnsi="Calibri" w:cs="Calibri"/>
          <w:color w:val="auto"/>
        </w:rPr>
        <w:t xml:space="preserve">, has published a case study that reveals how </w:t>
      </w:r>
      <w:r w:rsidR="0029148B">
        <w:rPr>
          <w:rFonts w:ascii="Calibri" w:hAnsi="Calibri" w:cs="Calibri"/>
          <w:color w:val="auto"/>
        </w:rPr>
        <w:t>conductin</w:t>
      </w:r>
      <w:r w:rsidR="00195F6D">
        <w:rPr>
          <w:rFonts w:ascii="Calibri" w:hAnsi="Calibri" w:cs="Calibri"/>
          <w:color w:val="auto"/>
        </w:rPr>
        <w:t>g</w:t>
      </w:r>
      <w:r w:rsidR="0029148B">
        <w:rPr>
          <w:rFonts w:ascii="Calibri" w:hAnsi="Calibri" w:cs="Calibri"/>
          <w:color w:val="auto"/>
        </w:rPr>
        <w:t xml:space="preserve"> an </w:t>
      </w:r>
      <w:r w:rsidR="00D445DB">
        <w:rPr>
          <w:rFonts w:ascii="Calibri" w:hAnsi="Calibri" w:cs="Calibri"/>
          <w:color w:val="auto"/>
        </w:rPr>
        <w:t xml:space="preserve">ambulatory </w:t>
      </w:r>
      <w:r w:rsidR="00D445DB" w:rsidRPr="00195F6D">
        <w:rPr>
          <w:rFonts w:ascii="Calibri" w:hAnsi="Calibri" w:cs="Calibri"/>
          <w:color w:val="auto"/>
        </w:rPr>
        <w:t>revenue cycle assessment</w:t>
      </w:r>
      <w:r w:rsidR="00D445DB">
        <w:rPr>
          <w:rFonts w:ascii="Calibri" w:hAnsi="Calibri" w:cs="Calibri"/>
          <w:color w:val="auto"/>
        </w:rPr>
        <w:t xml:space="preserve"> can support organizational growth. </w:t>
      </w:r>
      <w:r w:rsidR="00CF492B">
        <w:rPr>
          <w:rFonts w:ascii="Calibri" w:hAnsi="Calibri" w:cs="Calibri"/>
          <w:color w:val="auto"/>
        </w:rPr>
        <w:t xml:space="preserve">Without sufficient infrastructure </w:t>
      </w:r>
      <w:r w:rsidR="0029148B">
        <w:rPr>
          <w:rFonts w:ascii="Calibri" w:hAnsi="Calibri" w:cs="Calibri"/>
          <w:color w:val="auto"/>
        </w:rPr>
        <w:t xml:space="preserve">and without a culture that aligns communications </w:t>
      </w:r>
      <w:r w:rsidR="00CF492B">
        <w:rPr>
          <w:rFonts w:ascii="Calibri" w:hAnsi="Calibri" w:cs="Calibri"/>
          <w:color w:val="auto"/>
        </w:rPr>
        <w:t xml:space="preserve">throughout the system, </w:t>
      </w:r>
      <w:r w:rsidR="00195F6D">
        <w:rPr>
          <w:rFonts w:ascii="Calibri" w:hAnsi="Calibri" w:cs="Calibri"/>
          <w:color w:val="auto"/>
        </w:rPr>
        <w:t xml:space="preserve">many </w:t>
      </w:r>
      <w:r w:rsidR="00CF492B">
        <w:rPr>
          <w:rFonts w:ascii="Calibri" w:hAnsi="Calibri" w:cs="Calibri"/>
          <w:color w:val="auto"/>
        </w:rPr>
        <w:t xml:space="preserve">healthcare organizations </w:t>
      </w:r>
      <w:r w:rsidR="0029148B">
        <w:rPr>
          <w:rFonts w:ascii="Calibri" w:hAnsi="Calibri" w:cs="Calibri"/>
          <w:color w:val="auto"/>
        </w:rPr>
        <w:t>start</w:t>
      </w:r>
      <w:r w:rsidR="00CF492B">
        <w:rPr>
          <w:rFonts w:ascii="Calibri" w:hAnsi="Calibri" w:cs="Calibri"/>
          <w:color w:val="auto"/>
        </w:rPr>
        <w:t xml:space="preserve"> to notice growing financial losses and cultur</w:t>
      </w:r>
      <w:r w:rsidR="0029148B">
        <w:rPr>
          <w:rFonts w:ascii="Calibri" w:hAnsi="Calibri" w:cs="Calibri"/>
          <w:color w:val="auto"/>
        </w:rPr>
        <w:t>al chaos</w:t>
      </w:r>
      <w:r w:rsidR="002E18A1">
        <w:rPr>
          <w:rFonts w:ascii="Calibri" w:hAnsi="Calibri" w:cs="Calibri"/>
          <w:color w:val="auto"/>
        </w:rPr>
        <w:t xml:space="preserve"> within their employed physician networks</w:t>
      </w:r>
      <w:r w:rsidR="00CF492B">
        <w:rPr>
          <w:rFonts w:ascii="Calibri" w:hAnsi="Calibri" w:cs="Calibri"/>
          <w:color w:val="auto"/>
        </w:rPr>
        <w:t>.</w:t>
      </w:r>
    </w:p>
    <w:p w14:paraId="314E4821" w14:textId="77777777" w:rsidR="0029148B" w:rsidRDefault="0029148B" w:rsidP="00F608F2">
      <w:pPr>
        <w:pStyle w:val="Body"/>
        <w:contextualSpacing/>
        <w:rPr>
          <w:rFonts w:ascii="Calibri" w:hAnsi="Calibri" w:cs="Calibri"/>
          <w:color w:val="auto"/>
        </w:rPr>
      </w:pPr>
    </w:p>
    <w:p w14:paraId="76424F06" w14:textId="7F312ABA" w:rsidR="0037013C" w:rsidRDefault="00375082" w:rsidP="00375082">
      <w:pPr>
        <w:pStyle w:val="Body"/>
        <w:contextualSpacing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The newly published case study outlines how the healthcare advisors approached a </w:t>
      </w:r>
      <w:r w:rsidRPr="00375082">
        <w:rPr>
          <w:rFonts w:ascii="Calibri" w:hAnsi="Calibri" w:cs="Calibri"/>
          <w:color w:val="auto"/>
        </w:rPr>
        <w:t xml:space="preserve">request to perform </w:t>
      </w:r>
      <w:r>
        <w:rPr>
          <w:rFonts w:ascii="Calibri" w:hAnsi="Calibri" w:cs="Calibri"/>
          <w:color w:val="auto"/>
        </w:rPr>
        <w:t xml:space="preserve">strategic and operational assessments for a Northeast hospital. The hospital leadership wanted to understand why they were having such severe growing pains </w:t>
      </w:r>
      <w:r w:rsidR="002E18A1">
        <w:rPr>
          <w:rFonts w:ascii="Calibri" w:hAnsi="Calibri" w:cs="Calibri"/>
          <w:color w:val="auto"/>
        </w:rPr>
        <w:t xml:space="preserve">in their central billing office </w:t>
      </w:r>
      <w:r>
        <w:rPr>
          <w:rFonts w:ascii="Calibri" w:hAnsi="Calibri" w:cs="Calibri"/>
          <w:color w:val="auto"/>
        </w:rPr>
        <w:t xml:space="preserve">and gain some insight into how they could turn their </w:t>
      </w:r>
      <w:r w:rsidR="002E18A1">
        <w:rPr>
          <w:rFonts w:ascii="Calibri" w:hAnsi="Calibri" w:cs="Calibri"/>
          <w:color w:val="auto"/>
        </w:rPr>
        <w:t xml:space="preserve">financial </w:t>
      </w:r>
      <w:r>
        <w:rPr>
          <w:rFonts w:ascii="Calibri" w:hAnsi="Calibri" w:cs="Calibri"/>
          <w:color w:val="auto"/>
        </w:rPr>
        <w:t xml:space="preserve">performance around.  </w:t>
      </w:r>
      <w:r w:rsidR="00DA1FE4">
        <w:rPr>
          <w:rFonts w:ascii="Calibri" w:hAnsi="Calibri" w:cs="Calibri"/>
          <w:color w:val="auto"/>
        </w:rPr>
        <w:t xml:space="preserve">HSG’s team of experienced healthcare consultants initiated an </w:t>
      </w:r>
      <w:hyperlink r:id="rId9" w:history="1">
        <w:r w:rsidR="00DA1FE4" w:rsidRPr="00195F6D">
          <w:rPr>
            <w:rStyle w:val="Hyperlink"/>
            <w:rFonts w:ascii="Calibri" w:hAnsi="Calibri" w:cs="Calibri"/>
          </w:rPr>
          <w:t>Ambulatory Revenue Cycle Assessment</w:t>
        </w:r>
        <w:r w:rsidRPr="00195F6D">
          <w:rPr>
            <w:rStyle w:val="Hyperlink"/>
            <w:rFonts w:ascii="Calibri" w:hAnsi="Calibri" w:cs="Calibri"/>
          </w:rPr>
          <w:t>.</w:t>
        </w:r>
      </w:hyperlink>
      <w:r w:rsidR="00DA1FE4">
        <w:rPr>
          <w:rFonts w:ascii="Calibri" w:hAnsi="Calibri" w:cs="Calibri"/>
          <w:color w:val="auto"/>
        </w:rPr>
        <w:t xml:space="preserve"> The work included s</w:t>
      </w:r>
      <w:r w:rsidRPr="00375082">
        <w:rPr>
          <w:rFonts w:ascii="Calibri" w:hAnsi="Calibri" w:cs="Calibri"/>
          <w:color w:val="auto"/>
        </w:rPr>
        <w:t>tatistical</w:t>
      </w:r>
      <w:r w:rsidR="00DA1FE4">
        <w:rPr>
          <w:rFonts w:ascii="Calibri" w:hAnsi="Calibri" w:cs="Calibri"/>
          <w:color w:val="auto"/>
        </w:rPr>
        <w:t xml:space="preserve"> </w:t>
      </w:r>
      <w:r w:rsidRPr="00375082">
        <w:rPr>
          <w:rFonts w:ascii="Calibri" w:hAnsi="Calibri" w:cs="Calibri"/>
          <w:color w:val="auto"/>
        </w:rPr>
        <w:t xml:space="preserve">analyses along with onsite evaluations </w:t>
      </w:r>
      <w:r w:rsidR="00DA1FE4">
        <w:rPr>
          <w:rFonts w:ascii="Calibri" w:hAnsi="Calibri" w:cs="Calibri"/>
          <w:color w:val="auto"/>
        </w:rPr>
        <w:t xml:space="preserve">to </w:t>
      </w:r>
      <w:r w:rsidRPr="00375082">
        <w:rPr>
          <w:rFonts w:ascii="Calibri" w:hAnsi="Calibri" w:cs="Calibri"/>
          <w:color w:val="auto"/>
        </w:rPr>
        <w:t>identif</w:t>
      </w:r>
      <w:r w:rsidR="00DA1FE4">
        <w:rPr>
          <w:rFonts w:ascii="Calibri" w:hAnsi="Calibri" w:cs="Calibri"/>
          <w:color w:val="auto"/>
        </w:rPr>
        <w:t>y</w:t>
      </w:r>
      <w:r w:rsidRPr="00375082">
        <w:rPr>
          <w:rFonts w:ascii="Calibri" w:hAnsi="Calibri" w:cs="Calibri"/>
          <w:color w:val="auto"/>
        </w:rPr>
        <w:t xml:space="preserve"> factors affecting </w:t>
      </w:r>
      <w:r w:rsidR="00DA1FE4">
        <w:rPr>
          <w:rFonts w:ascii="Calibri" w:hAnsi="Calibri" w:cs="Calibri"/>
          <w:color w:val="auto"/>
        </w:rPr>
        <w:t xml:space="preserve">the </w:t>
      </w:r>
      <w:r w:rsidR="002E18A1">
        <w:rPr>
          <w:rFonts w:ascii="Calibri" w:hAnsi="Calibri" w:cs="Calibri"/>
          <w:color w:val="auto"/>
        </w:rPr>
        <w:t xml:space="preserve">medical group’s </w:t>
      </w:r>
      <w:r w:rsidRPr="00195F6D">
        <w:rPr>
          <w:rFonts w:ascii="Calibri" w:hAnsi="Calibri" w:cs="Calibri"/>
          <w:color w:val="auto"/>
        </w:rPr>
        <w:t>financial</w:t>
      </w:r>
      <w:r w:rsidR="00DA1FE4" w:rsidRPr="00195F6D">
        <w:rPr>
          <w:rFonts w:ascii="Calibri" w:hAnsi="Calibri" w:cs="Calibri"/>
          <w:color w:val="auto"/>
        </w:rPr>
        <w:t xml:space="preserve"> </w:t>
      </w:r>
      <w:r w:rsidRPr="00195F6D">
        <w:rPr>
          <w:rFonts w:ascii="Calibri" w:hAnsi="Calibri" w:cs="Calibri"/>
          <w:color w:val="auto"/>
        </w:rPr>
        <w:t>performance</w:t>
      </w:r>
      <w:r w:rsidRPr="00375082">
        <w:rPr>
          <w:rFonts w:ascii="Calibri" w:hAnsi="Calibri" w:cs="Calibri"/>
          <w:color w:val="auto"/>
        </w:rPr>
        <w:t xml:space="preserve"> as well as patient access. </w:t>
      </w:r>
    </w:p>
    <w:p w14:paraId="3ADDC252" w14:textId="77777777" w:rsidR="0037013C" w:rsidRDefault="0037013C" w:rsidP="00375082">
      <w:pPr>
        <w:pStyle w:val="Body"/>
        <w:contextualSpacing/>
        <w:rPr>
          <w:rFonts w:ascii="Calibri" w:hAnsi="Calibri" w:cs="Calibri"/>
          <w:color w:val="auto"/>
        </w:rPr>
      </w:pPr>
    </w:p>
    <w:p w14:paraId="5E772619" w14:textId="72392059" w:rsidR="0037013C" w:rsidRDefault="0037013C" w:rsidP="00375082">
      <w:pPr>
        <w:pStyle w:val="Body"/>
        <w:contextualSpacing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Lagging employee education on coding practices as well as c</w:t>
      </w:r>
      <w:r w:rsidR="00375082" w:rsidRPr="00375082">
        <w:rPr>
          <w:rFonts w:ascii="Calibri" w:hAnsi="Calibri" w:cs="Calibri"/>
          <w:color w:val="auto"/>
        </w:rPr>
        <w:t>laims denials</w:t>
      </w:r>
      <w:r>
        <w:rPr>
          <w:rFonts w:ascii="Calibri" w:hAnsi="Calibri" w:cs="Calibri"/>
          <w:color w:val="auto"/>
        </w:rPr>
        <w:t xml:space="preserve"> </w:t>
      </w:r>
      <w:r w:rsidR="00375082" w:rsidRPr="00375082">
        <w:rPr>
          <w:rFonts w:ascii="Calibri" w:hAnsi="Calibri" w:cs="Calibri"/>
          <w:color w:val="auto"/>
        </w:rPr>
        <w:t xml:space="preserve">management and coding documentation </w:t>
      </w:r>
      <w:r>
        <w:rPr>
          <w:rFonts w:ascii="Calibri" w:hAnsi="Calibri" w:cs="Calibri"/>
          <w:color w:val="auto"/>
        </w:rPr>
        <w:t>are</w:t>
      </w:r>
      <w:r w:rsidR="00375082" w:rsidRPr="00375082">
        <w:rPr>
          <w:rFonts w:ascii="Calibri" w:hAnsi="Calibri" w:cs="Calibri"/>
          <w:color w:val="auto"/>
        </w:rPr>
        <w:t xml:space="preserve"> highlighted as key factors negatively</w:t>
      </w:r>
      <w:r>
        <w:rPr>
          <w:rFonts w:ascii="Calibri" w:hAnsi="Calibri" w:cs="Calibri"/>
          <w:color w:val="auto"/>
        </w:rPr>
        <w:t xml:space="preserve"> </w:t>
      </w:r>
      <w:r w:rsidR="00375082" w:rsidRPr="00375082">
        <w:rPr>
          <w:rFonts w:ascii="Calibri" w:hAnsi="Calibri" w:cs="Calibri"/>
          <w:color w:val="auto"/>
        </w:rPr>
        <w:t>impacting the financial performance of the employed medical group. Through a front-end assessment and</w:t>
      </w:r>
      <w:r>
        <w:rPr>
          <w:rFonts w:ascii="Calibri" w:hAnsi="Calibri" w:cs="Calibri"/>
          <w:color w:val="auto"/>
        </w:rPr>
        <w:t xml:space="preserve"> </w:t>
      </w:r>
      <w:r w:rsidR="00375082" w:rsidRPr="00375082">
        <w:rPr>
          <w:rFonts w:ascii="Calibri" w:hAnsi="Calibri" w:cs="Calibri"/>
          <w:color w:val="auto"/>
        </w:rPr>
        <w:t>four months of onsite support</w:t>
      </w:r>
      <w:r>
        <w:rPr>
          <w:rFonts w:ascii="Calibri" w:hAnsi="Calibri" w:cs="Calibri"/>
          <w:color w:val="auto"/>
        </w:rPr>
        <w:t xml:space="preserve"> from </w:t>
      </w:r>
      <w:r w:rsidR="002E18A1">
        <w:rPr>
          <w:rFonts w:ascii="Calibri" w:hAnsi="Calibri" w:cs="Calibri"/>
          <w:color w:val="auto"/>
        </w:rPr>
        <w:t>HSG’s subject matter experts</w:t>
      </w:r>
      <w:r w:rsidR="00375082" w:rsidRPr="00375082">
        <w:rPr>
          <w:rFonts w:ascii="Calibri" w:hAnsi="Calibri" w:cs="Calibri"/>
          <w:color w:val="auto"/>
        </w:rPr>
        <w:t>, denial rates were reduced by 50% and staff were appropriately positioned</w:t>
      </w:r>
      <w:r>
        <w:rPr>
          <w:rFonts w:ascii="Calibri" w:hAnsi="Calibri" w:cs="Calibri"/>
          <w:color w:val="auto"/>
        </w:rPr>
        <w:t xml:space="preserve"> </w:t>
      </w:r>
      <w:r w:rsidR="00375082" w:rsidRPr="00375082">
        <w:rPr>
          <w:rFonts w:ascii="Calibri" w:hAnsi="Calibri" w:cs="Calibri"/>
          <w:color w:val="auto"/>
        </w:rPr>
        <w:t>and educated to manage processes effectively moving forward</w:t>
      </w:r>
      <w:r w:rsidR="00791112">
        <w:rPr>
          <w:rFonts w:ascii="Calibri" w:hAnsi="Calibri" w:cs="Calibri"/>
          <w:color w:val="auto"/>
        </w:rPr>
        <w:t xml:space="preserve">. </w:t>
      </w:r>
    </w:p>
    <w:p w14:paraId="6B62E5C7" w14:textId="4C160299" w:rsidR="00420986" w:rsidRDefault="00420986" w:rsidP="00375082">
      <w:pPr>
        <w:pStyle w:val="Body"/>
        <w:contextualSpacing/>
        <w:rPr>
          <w:rFonts w:ascii="Calibri" w:hAnsi="Calibri" w:cs="Calibri"/>
          <w:color w:val="auto"/>
        </w:rPr>
      </w:pPr>
    </w:p>
    <w:p w14:paraId="036E7270" w14:textId="62013CA2" w:rsidR="00420986" w:rsidRDefault="00420986" w:rsidP="00375082">
      <w:pPr>
        <w:pStyle w:val="Body"/>
        <w:contextualSpacing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“By taking a step back and evaluating not only data but also the system’s environment, our team was able to uncover opportunities for improvement,” said Davis Creech,</w:t>
      </w:r>
      <w:r w:rsidR="008E7CA9">
        <w:rPr>
          <w:rFonts w:ascii="Calibri" w:hAnsi="Calibri" w:cs="Calibri"/>
          <w:color w:val="auto"/>
        </w:rPr>
        <w:t xml:space="preserve"> Director at HSG.</w:t>
      </w:r>
      <w:r>
        <w:rPr>
          <w:rFonts w:ascii="Calibri" w:hAnsi="Calibri" w:cs="Calibri"/>
          <w:color w:val="auto"/>
        </w:rPr>
        <w:t xml:space="preserve"> </w:t>
      </w:r>
      <w:r w:rsidR="008E7CA9">
        <w:rPr>
          <w:rFonts w:ascii="Calibri" w:hAnsi="Calibri" w:cs="Calibri"/>
          <w:color w:val="auto"/>
        </w:rPr>
        <w:t>“</w:t>
      </w:r>
      <w:r>
        <w:rPr>
          <w:rFonts w:ascii="Calibri" w:hAnsi="Calibri" w:cs="Calibri"/>
          <w:color w:val="auto"/>
        </w:rPr>
        <w:t>We addressed everything from staff levels of expertise, workflows, resources</w:t>
      </w:r>
      <w:r w:rsidR="008E7CA9">
        <w:rPr>
          <w:rFonts w:ascii="Calibri" w:hAnsi="Calibri" w:cs="Calibri"/>
          <w:color w:val="auto"/>
        </w:rPr>
        <w:t>, support</w:t>
      </w:r>
      <w:r w:rsidR="00B662A3">
        <w:rPr>
          <w:rFonts w:ascii="Calibri" w:hAnsi="Calibri" w:cs="Calibri"/>
          <w:color w:val="auto"/>
        </w:rPr>
        <w:t>,</w:t>
      </w:r>
      <w:r>
        <w:rPr>
          <w:rFonts w:ascii="Calibri" w:hAnsi="Calibri" w:cs="Calibri"/>
          <w:color w:val="auto"/>
        </w:rPr>
        <w:t xml:space="preserve"> and standardized processes. The insights that were revealed led to significant changes that ultimately reduced denial rates by 50% within a short period of time.</w:t>
      </w:r>
      <w:r w:rsidR="008E7CA9">
        <w:rPr>
          <w:rFonts w:ascii="Calibri" w:hAnsi="Calibri" w:cs="Calibri"/>
          <w:color w:val="auto"/>
        </w:rPr>
        <w:t>”</w:t>
      </w:r>
    </w:p>
    <w:p w14:paraId="6969EAB3" w14:textId="77777777" w:rsidR="00420986" w:rsidRDefault="00420986" w:rsidP="00375082">
      <w:pPr>
        <w:pStyle w:val="Body"/>
        <w:contextualSpacing/>
        <w:rPr>
          <w:rFonts w:ascii="Calibri" w:hAnsi="Calibri" w:cs="Calibri"/>
          <w:color w:val="auto"/>
        </w:rPr>
      </w:pPr>
    </w:p>
    <w:p w14:paraId="1AACFA26" w14:textId="647FF29C" w:rsidR="00D666D8" w:rsidRDefault="008E7CA9" w:rsidP="00F608F2">
      <w:pPr>
        <w:pStyle w:val="Body"/>
        <w:contextualSpacing/>
        <w:rPr>
          <w:rFonts w:ascii="Calibri" w:hAnsi="Calibri" w:cs="Calibri"/>
          <w:color w:val="auto"/>
        </w:rPr>
      </w:pPr>
      <w:r w:rsidRPr="008E7CA9">
        <w:rPr>
          <w:rFonts w:ascii="Calibri" w:hAnsi="Calibri" w:cs="Calibri"/>
          <w:color w:val="auto"/>
        </w:rPr>
        <w:t>Both the analytical and onsite work</w:t>
      </w:r>
      <w:r w:rsidR="00505F3D">
        <w:rPr>
          <w:rFonts w:ascii="Calibri" w:hAnsi="Calibri" w:cs="Calibri"/>
          <w:color w:val="auto"/>
        </w:rPr>
        <w:t>,</w:t>
      </w:r>
      <w:r w:rsidRPr="008E7CA9">
        <w:rPr>
          <w:rFonts w:ascii="Calibri" w:hAnsi="Calibri" w:cs="Calibri"/>
          <w:color w:val="auto"/>
        </w:rPr>
        <w:t xml:space="preserve"> along with</w:t>
      </w:r>
      <w:r>
        <w:rPr>
          <w:rFonts w:ascii="Calibri" w:hAnsi="Calibri" w:cs="Calibri"/>
          <w:color w:val="auto"/>
        </w:rPr>
        <w:t xml:space="preserve"> </w:t>
      </w:r>
      <w:r w:rsidRPr="008E7CA9">
        <w:rPr>
          <w:rFonts w:ascii="Calibri" w:hAnsi="Calibri" w:cs="Calibri"/>
          <w:color w:val="auto"/>
        </w:rPr>
        <w:t>subsequent written reports</w:t>
      </w:r>
      <w:r w:rsidR="00B662A3">
        <w:rPr>
          <w:rFonts w:ascii="Calibri" w:hAnsi="Calibri" w:cs="Calibri"/>
          <w:color w:val="auto"/>
        </w:rPr>
        <w:t>,</w:t>
      </w:r>
      <w:r w:rsidRPr="008E7CA9">
        <w:rPr>
          <w:rFonts w:ascii="Calibri" w:hAnsi="Calibri" w:cs="Calibri"/>
          <w:color w:val="auto"/>
        </w:rPr>
        <w:t xml:space="preserve"> </w:t>
      </w:r>
      <w:r w:rsidR="00505F3D">
        <w:rPr>
          <w:rFonts w:ascii="Calibri" w:hAnsi="Calibri" w:cs="Calibri"/>
          <w:color w:val="auto"/>
        </w:rPr>
        <w:t>provided the hospital in the case study with</w:t>
      </w:r>
      <w:r w:rsidRPr="008E7CA9">
        <w:rPr>
          <w:rFonts w:ascii="Calibri" w:hAnsi="Calibri" w:cs="Calibri"/>
          <w:color w:val="auto"/>
        </w:rPr>
        <w:t xml:space="preserve"> well-vetted, actionable</w:t>
      </w:r>
      <w:r>
        <w:rPr>
          <w:rFonts w:ascii="Calibri" w:hAnsi="Calibri" w:cs="Calibri"/>
          <w:color w:val="auto"/>
        </w:rPr>
        <w:t xml:space="preserve"> </w:t>
      </w:r>
      <w:r w:rsidRPr="008E7CA9">
        <w:rPr>
          <w:rFonts w:ascii="Calibri" w:hAnsi="Calibri" w:cs="Calibri"/>
          <w:color w:val="auto"/>
        </w:rPr>
        <w:t xml:space="preserve">recommendations </w:t>
      </w:r>
      <w:r w:rsidR="00505F3D">
        <w:rPr>
          <w:rFonts w:ascii="Calibri" w:hAnsi="Calibri" w:cs="Calibri"/>
          <w:color w:val="auto"/>
        </w:rPr>
        <w:t xml:space="preserve">for hospital </w:t>
      </w:r>
      <w:r w:rsidRPr="008E7CA9">
        <w:rPr>
          <w:rFonts w:ascii="Calibri" w:hAnsi="Calibri" w:cs="Calibri"/>
          <w:color w:val="auto"/>
        </w:rPr>
        <w:t>performance improvement and long-term sustainability.</w:t>
      </w:r>
      <w:r w:rsidR="00505F3D">
        <w:rPr>
          <w:rFonts w:ascii="Calibri" w:hAnsi="Calibri" w:cs="Calibri"/>
          <w:color w:val="auto"/>
        </w:rPr>
        <w:t xml:space="preserve"> To read the entire </w:t>
      </w:r>
      <w:hyperlink r:id="rId10" w:history="1">
        <w:r w:rsidR="00505F3D" w:rsidRPr="00505F3D">
          <w:rPr>
            <w:rStyle w:val="Hyperlink"/>
            <w:rFonts w:ascii="Calibri" w:hAnsi="Calibri" w:cs="Calibri"/>
          </w:rPr>
          <w:t>case study</w:t>
        </w:r>
      </w:hyperlink>
      <w:r w:rsidR="00505F3D">
        <w:rPr>
          <w:rFonts w:ascii="Calibri" w:hAnsi="Calibri" w:cs="Calibri"/>
          <w:color w:val="auto"/>
        </w:rPr>
        <w:t xml:space="preserve"> or to find out more about the value of revenue cycle assessments and healthcare provider network performance improvement</w:t>
      </w:r>
      <w:r w:rsidR="00195F6D">
        <w:rPr>
          <w:rFonts w:ascii="Calibri" w:hAnsi="Calibri" w:cs="Calibri"/>
          <w:color w:val="auto"/>
        </w:rPr>
        <w:t>,</w:t>
      </w:r>
      <w:r w:rsidR="00505F3D">
        <w:rPr>
          <w:rFonts w:ascii="Calibri" w:hAnsi="Calibri" w:cs="Calibri"/>
          <w:color w:val="auto"/>
        </w:rPr>
        <w:t xml:space="preserve"> visit the website at HSGAdvisors.com</w:t>
      </w:r>
    </w:p>
    <w:p w14:paraId="38BF7630" w14:textId="77777777" w:rsidR="00EB1A4E" w:rsidRPr="00EB1A4E" w:rsidRDefault="00EB1A4E" w:rsidP="00EB1A4E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="Calibri" w:hAnsi="Calibri" w:cs="Calibri"/>
          <w:sz w:val="22"/>
          <w:szCs w:val="22"/>
        </w:rPr>
      </w:pPr>
    </w:p>
    <w:p w14:paraId="36DA0D0E" w14:textId="77777777" w:rsidR="00437CB4" w:rsidRPr="00EB1A4E" w:rsidRDefault="00437CB4" w:rsidP="00EB1A4E">
      <w:pPr>
        <w:pStyle w:val="Body"/>
        <w:contextualSpacing/>
        <w:rPr>
          <w:rFonts w:ascii="Calibri" w:hAnsi="Calibri" w:cs="Calibri"/>
          <w:color w:val="auto"/>
          <w:lang w:val="de-AT"/>
        </w:rPr>
      </w:pPr>
    </w:p>
    <w:p w14:paraId="63D69D1E" w14:textId="08437EBF" w:rsidR="00437CB4" w:rsidRPr="00EB1A4E" w:rsidRDefault="00437CB4" w:rsidP="00EB1A4E">
      <w:pPr>
        <w:pStyle w:val="Body"/>
        <w:contextualSpacing/>
        <w:jc w:val="center"/>
        <w:rPr>
          <w:rFonts w:ascii="Calibri" w:hAnsi="Calibri" w:cs="Calibri"/>
          <w:color w:val="auto"/>
        </w:rPr>
      </w:pPr>
      <w:r w:rsidRPr="00EB1A4E">
        <w:rPr>
          <w:rFonts w:ascii="Calibri" w:hAnsi="Calibri" w:cs="Calibri"/>
          <w:color w:val="auto"/>
        </w:rPr>
        <w:t>###</w:t>
      </w:r>
    </w:p>
    <w:p w14:paraId="3B567512" w14:textId="77777777" w:rsidR="00437CB4" w:rsidRPr="00EB1A4E" w:rsidRDefault="00437CB4" w:rsidP="00437CB4">
      <w:pPr>
        <w:pStyle w:val="Body"/>
        <w:rPr>
          <w:rFonts w:ascii="Calibri" w:hAnsi="Calibri" w:cs="Calibri"/>
          <w:color w:val="auto"/>
          <w:u w:val="single"/>
        </w:rPr>
      </w:pPr>
    </w:p>
    <w:p w14:paraId="7ED5FFF6" w14:textId="77777777" w:rsidR="00437CB4" w:rsidRPr="00EB1A4E" w:rsidRDefault="00437CB4" w:rsidP="00437CB4">
      <w:pPr>
        <w:pStyle w:val="Body"/>
        <w:rPr>
          <w:rFonts w:ascii="Calibri" w:hAnsi="Calibri" w:cs="Calibri"/>
          <w:color w:val="auto"/>
          <w:u w:val="single"/>
        </w:rPr>
      </w:pPr>
      <w:r w:rsidRPr="00EB1A4E">
        <w:rPr>
          <w:rFonts w:ascii="Calibri" w:hAnsi="Calibri" w:cs="Calibri"/>
          <w:color w:val="auto"/>
          <w:u w:val="single"/>
        </w:rPr>
        <w:lastRenderedPageBreak/>
        <w:t>About HSG</w:t>
      </w:r>
    </w:p>
    <w:p w14:paraId="5C316667" w14:textId="5DBC7978" w:rsidR="00437CB4" w:rsidRPr="00EB1A4E" w:rsidRDefault="00437CB4" w:rsidP="00EB1A4E">
      <w:pPr>
        <w:pStyle w:val="Default"/>
        <w:rPr>
          <w:rFonts w:ascii="Calibri" w:hAnsi="Calibri" w:cs="Calibri"/>
          <w:color w:val="auto"/>
        </w:rPr>
      </w:pPr>
      <w:r w:rsidRPr="00EB1A4E">
        <w:rPr>
          <w:rFonts w:ascii="Calibri" w:hAnsi="Calibri" w:cs="Calibri"/>
          <w:color w:val="auto"/>
        </w:rPr>
        <w:t xml:space="preserve">HSG builds </w:t>
      </w:r>
      <w:r w:rsidR="007A4376">
        <w:rPr>
          <w:rFonts w:ascii="Calibri" w:hAnsi="Calibri" w:cs="Calibri"/>
          <w:color w:val="auto"/>
        </w:rPr>
        <w:t>high-performing</w:t>
      </w:r>
      <w:r w:rsidRPr="00EB1A4E">
        <w:rPr>
          <w:rFonts w:ascii="Calibri" w:hAnsi="Calibri" w:cs="Calibri"/>
          <w:color w:val="auto"/>
        </w:rPr>
        <w:t xml:space="preserve"> physician networks so </w:t>
      </w:r>
      <w:r w:rsidR="00EF5FA7" w:rsidRPr="00EB1A4E">
        <w:rPr>
          <w:rFonts w:ascii="Calibri" w:hAnsi="Calibri" w:cs="Calibri"/>
          <w:color w:val="auto"/>
        </w:rPr>
        <w:t>H</w:t>
      </w:r>
      <w:r w:rsidRPr="00EB1A4E">
        <w:rPr>
          <w:rFonts w:ascii="Calibri" w:hAnsi="Calibri" w:cs="Calibri"/>
          <w:color w:val="auto"/>
        </w:rPr>
        <w:t xml:space="preserve">ealth </w:t>
      </w:r>
      <w:r w:rsidR="00EF5FA7" w:rsidRPr="00EB1A4E">
        <w:rPr>
          <w:rFonts w:ascii="Calibri" w:hAnsi="Calibri" w:cs="Calibri"/>
          <w:color w:val="auto"/>
        </w:rPr>
        <w:t>S</w:t>
      </w:r>
      <w:r w:rsidRPr="00EB1A4E">
        <w:rPr>
          <w:rFonts w:ascii="Calibri" w:hAnsi="Calibri" w:cs="Calibri"/>
          <w:color w:val="auto"/>
        </w:rPr>
        <w:t xml:space="preserve">ystems can address complex changes with confidence. HSG, a Louisville-based, national healthcare consultancy firm, can be reached via their </w:t>
      </w:r>
      <w:hyperlink r:id="rId11" w:history="1">
        <w:r w:rsidRPr="00EB1A4E">
          <w:rPr>
            <w:rStyle w:val="Hyperlink0"/>
            <w:rFonts w:ascii="Calibri" w:hAnsi="Calibri" w:cs="Calibri"/>
            <w:color w:val="auto"/>
          </w:rPr>
          <w:t>website</w:t>
        </w:r>
      </w:hyperlink>
      <w:r w:rsidRPr="00EB1A4E">
        <w:rPr>
          <w:rFonts w:ascii="Calibri" w:hAnsi="Calibri" w:cs="Calibri"/>
          <w:color w:val="auto"/>
        </w:rPr>
        <w:t xml:space="preserve">, </w:t>
      </w:r>
      <w:hyperlink r:id="rId12" w:history="1">
        <w:r w:rsidRPr="00EB1A4E">
          <w:rPr>
            <w:rStyle w:val="Hyperlink0"/>
            <w:rFonts w:ascii="Calibri" w:hAnsi="Calibri" w:cs="Calibri"/>
            <w:color w:val="auto"/>
          </w:rPr>
          <w:t>LinkedIn</w:t>
        </w:r>
      </w:hyperlink>
      <w:r w:rsidRPr="00EB1A4E">
        <w:rPr>
          <w:rFonts w:ascii="Calibri" w:hAnsi="Calibri" w:cs="Calibri"/>
          <w:color w:val="auto"/>
        </w:rPr>
        <w:t xml:space="preserve">, by emailing </w:t>
      </w:r>
      <w:hyperlink r:id="rId13" w:history="1">
        <w:r w:rsidRPr="00EB1A4E">
          <w:rPr>
            <w:rStyle w:val="Hyperlink0"/>
            <w:rFonts w:ascii="Calibri" w:hAnsi="Calibri" w:cs="Calibri"/>
            <w:color w:val="auto"/>
          </w:rPr>
          <w:t>info@hsgadvisors.com</w:t>
        </w:r>
      </w:hyperlink>
      <w:r w:rsidRPr="00EB1A4E">
        <w:rPr>
          <w:rFonts w:ascii="Calibri" w:hAnsi="Calibri" w:cs="Calibri"/>
          <w:color w:val="auto"/>
        </w:rPr>
        <w:t>, or by calling (502) 814-1180.</w:t>
      </w:r>
      <w:r w:rsidR="00EB1A4E" w:rsidRPr="00EB1A4E">
        <w:rPr>
          <w:rFonts w:ascii="Calibri" w:hAnsi="Calibri" w:cs="Calibri"/>
          <w:color w:val="auto"/>
        </w:rPr>
        <w:t xml:space="preserve"> </w:t>
      </w:r>
      <w:r w:rsidRPr="00EB1A4E">
        <w:rPr>
          <w:rFonts w:ascii="Calibri" w:hAnsi="Calibri" w:cs="Calibri"/>
          <w:color w:val="auto"/>
        </w:rPr>
        <w:tab/>
      </w:r>
    </w:p>
    <w:p w14:paraId="6E325BAD" w14:textId="77777777" w:rsidR="00437CB4" w:rsidRPr="00EB1A4E" w:rsidRDefault="00437CB4" w:rsidP="00437CB4">
      <w:pPr>
        <w:spacing w:after="0" w:line="240" w:lineRule="auto"/>
        <w:rPr>
          <w:rFonts w:ascii="Calibri" w:hAnsi="Calibri" w:cs="Calibri"/>
        </w:rPr>
      </w:pPr>
    </w:p>
    <w:p w14:paraId="4A0F04D6" w14:textId="53A770A5" w:rsidR="00CC2905" w:rsidRPr="00EB1A4E" w:rsidRDefault="00CC2905" w:rsidP="00317783">
      <w:pPr>
        <w:rPr>
          <w:rFonts w:ascii="Calibri" w:hAnsi="Calibri" w:cs="Calibri"/>
        </w:rPr>
      </w:pPr>
    </w:p>
    <w:p w14:paraId="0B3615EA" w14:textId="77777777" w:rsidR="0012793B" w:rsidRPr="00EB1A4E" w:rsidRDefault="0012793B">
      <w:pPr>
        <w:rPr>
          <w:rFonts w:ascii="Calibri" w:hAnsi="Calibri" w:cs="Calibri"/>
        </w:rPr>
      </w:pPr>
    </w:p>
    <w:sectPr w:rsidR="0012793B" w:rsidRPr="00EB1A4E" w:rsidSect="00AD556C">
      <w:footerReference w:type="default" r:id="rId14"/>
      <w:headerReference w:type="first" r:id="rId15"/>
      <w:footerReference w:type="first" r:id="rId16"/>
      <w:pgSz w:w="12240" w:h="15840" w:code="1"/>
      <w:pgMar w:top="1886" w:right="1080" w:bottom="1440" w:left="1080" w:header="720" w:footer="3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E447F" w14:textId="77777777" w:rsidR="000F32FA" w:rsidRDefault="000F32FA" w:rsidP="00875568">
      <w:pPr>
        <w:spacing w:after="0" w:line="240" w:lineRule="auto"/>
      </w:pPr>
      <w:r>
        <w:separator/>
      </w:r>
    </w:p>
  </w:endnote>
  <w:endnote w:type="continuationSeparator" w:id="0">
    <w:p w14:paraId="0236D764" w14:textId="77777777" w:rsidR="000F32FA" w:rsidRDefault="000F32FA" w:rsidP="00875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803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10345"/>
      <w:gridCol w:w="458"/>
    </w:tblGrid>
    <w:tr w:rsidR="00A82555" w:rsidRPr="000806A6" w14:paraId="39E13690" w14:textId="77777777" w:rsidTr="003330AA">
      <w:trPr>
        <w:trHeight w:val="262"/>
      </w:trPr>
      <w:tc>
        <w:tcPr>
          <w:tcW w:w="10345" w:type="dxa"/>
          <w:shd w:val="clear" w:color="auto" w:fill="auto"/>
        </w:tcPr>
        <w:p w14:paraId="7C66D231" w14:textId="77777777" w:rsidR="000806A6" w:rsidRDefault="003330AA" w:rsidP="00A82555">
          <w:pPr>
            <w:pStyle w:val="Footer"/>
            <w:ind w:left="-115"/>
          </w:pPr>
          <w:r>
            <w:rPr>
              <w:noProof/>
            </w:rPr>
            <w:drawing>
              <wp:inline distT="0" distB="0" distL="0" distR="0" wp14:anchorId="29A7573A" wp14:editId="13CA1DF8">
                <wp:extent cx="6487286" cy="219694"/>
                <wp:effectExtent l="0" t="0" r="0" b="0"/>
                <wp:docPr id="2" name="Picture 2" descr="C:\Users\Cameron\Desktop\Letterhead Footer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Users\Cameron\Desktop\Letterhead Footer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87324" cy="314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" w:type="dxa"/>
          <w:shd w:val="clear" w:color="auto" w:fill="auto"/>
        </w:tcPr>
        <w:p w14:paraId="0F9A9F62" w14:textId="77777777" w:rsidR="000806A6" w:rsidRPr="00A82555" w:rsidRDefault="000806A6" w:rsidP="00B47AB9">
          <w:pPr>
            <w:pStyle w:val="Footer"/>
            <w:rPr>
              <w:b/>
              <w:color w:val="2E6C88"/>
              <w:sz w:val="20"/>
            </w:rPr>
          </w:pPr>
          <w:r w:rsidRPr="00A82555">
            <w:rPr>
              <w:b/>
              <w:color w:val="1F4E79" w:themeColor="accent1" w:themeShade="80"/>
              <w:sz w:val="20"/>
            </w:rPr>
            <w:fldChar w:fldCharType="begin"/>
          </w:r>
          <w:r w:rsidRPr="00A82555">
            <w:rPr>
              <w:b/>
              <w:color w:val="1F4E79" w:themeColor="accent1" w:themeShade="80"/>
              <w:sz w:val="20"/>
            </w:rPr>
            <w:instrText xml:space="preserve"> PAGE   \* MERGEFORMAT </w:instrText>
          </w:r>
          <w:r w:rsidRPr="00A82555">
            <w:rPr>
              <w:b/>
              <w:color w:val="1F4E79" w:themeColor="accent1" w:themeShade="80"/>
              <w:sz w:val="20"/>
            </w:rPr>
            <w:fldChar w:fldCharType="separate"/>
          </w:r>
          <w:r w:rsidR="007F49BC">
            <w:rPr>
              <w:b/>
              <w:noProof/>
              <w:color w:val="1F4E79" w:themeColor="accent1" w:themeShade="80"/>
              <w:sz w:val="20"/>
            </w:rPr>
            <w:t>2</w:t>
          </w:r>
          <w:r w:rsidRPr="00A82555">
            <w:rPr>
              <w:b/>
              <w:noProof/>
              <w:color w:val="1F4E79" w:themeColor="accent1" w:themeShade="80"/>
              <w:sz w:val="20"/>
            </w:rPr>
            <w:fldChar w:fldCharType="end"/>
          </w:r>
        </w:p>
      </w:tc>
    </w:tr>
  </w:tbl>
  <w:p w14:paraId="0FF7027D" w14:textId="77777777" w:rsidR="00361C13" w:rsidRDefault="00361C13" w:rsidP="00B47A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C64EF" w14:textId="77777777" w:rsidR="00B47AB9" w:rsidRDefault="00A82555" w:rsidP="00B47AB9">
    <w:pPr>
      <w:pStyle w:val="Footer"/>
      <w:ind w:left="-90"/>
    </w:pPr>
    <w:r>
      <w:rPr>
        <w:noProof/>
      </w:rPr>
      <w:drawing>
        <wp:inline distT="0" distB="0" distL="0" distR="0" wp14:anchorId="742FCBA8" wp14:editId="2A247F21">
          <wp:extent cx="6626225" cy="734581"/>
          <wp:effectExtent l="0" t="0" r="0" b="254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6225" cy="7345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63315" w14:textId="77777777" w:rsidR="000F32FA" w:rsidRDefault="000F32FA" w:rsidP="00875568">
      <w:pPr>
        <w:spacing w:after="0" w:line="240" w:lineRule="auto"/>
      </w:pPr>
      <w:r>
        <w:separator/>
      </w:r>
    </w:p>
  </w:footnote>
  <w:footnote w:type="continuationSeparator" w:id="0">
    <w:p w14:paraId="177C6167" w14:textId="77777777" w:rsidR="000F32FA" w:rsidRDefault="000F32FA" w:rsidP="00875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3869A" w14:textId="77777777" w:rsidR="00B47AB9" w:rsidRDefault="00361C13" w:rsidP="00D64AA0">
    <w:pPr>
      <w:pStyle w:val="Header"/>
    </w:pPr>
    <w:r>
      <w:rPr>
        <w:noProof/>
      </w:rPr>
      <w:drawing>
        <wp:inline distT="0" distB="0" distL="0" distR="0" wp14:anchorId="4BEC7B06" wp14:editId="57E16F47">
          <wp:extent cx="1619250" cy="463996"/>
          <wp:effectExtent l="0" t="0" r="0" b="5080"/>
          <wp:docPr id="3" name="Picture 3" descr="C:\Users\Cameron\Desktop\HSG-logo-color NO ADVISORS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Users\Cameron\Desktop\HSG-logo-color NO ADVISORS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463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16D43"/>
    <w:multiLevelType w:val="hybridMultilevel"/>
    <w:tmpl w:val="EF90FE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DB5C23"/>
    <w:multiLevelType w:val="multilevel"/>
    <w:tmpl w:val="0D6A2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xtjQ0N7Y0MTU0NjVV0lEKTi0uzszPAykwNKgFALeUKGMtAAAA"/>
  </w:docVars>
  <w:rsids>
    <w:rsidRoot w:val="00875568"/>
    <w:rsid w:val="000168A6"/>
    <w:rsid w:val="00016D2A"/>
    <w:rsid w:val="00027863"/>
    <w:rsid w:val="0004442B"/>
    <w:rsid w:val="00054EA3"/>
    <w:rsid w:val="00066994"/>
    <w:rsid w:val="000806A6"/>
    <w:rsid w:val="000D02C5"/>
    <w:rsid w:val="000F32FA"/>
    <w:rsid w:val="000F6D78"/>
    <w:rsid w:val="0012793B"/>
    <w:rsid w:val="001571EA"/>
    <w:rsid w:val="00195F6D"/>
    <w:rsid w:val="001A2B23"/>
    <w:rsid w:val="001B03CC"/>
    <w:rsid w:val="001B5B2A"/>
    <w:rsid w:val="001B6D9C"/>
    <w:rsid w:val="001D0775"/>
    <w:rsid w:val="001E3F75"/>
    <w:rsid w:val="001F74AF"/>
    <w:rsid w:val="002057AE"/>
    <w:rsid w:val="00261D3A"/>
    <w:rsid w:val="00263EB4"/>
    <w:rsid w:val="0026674F"/>
    <w:rsid w:val="002761D3"/>
    <w:rsid w:val="00287689"/>
    <w:rsid w:val="0029148B"/>
    <w:rsid w:val="002939DF"/>
    <w:rsid w:val="002A223C"/>
    <w:rsid w:val="002B292B"/>
    <w:rsid w:val="002B7396"/>
    <w:rsid w:val="002C2136"/>
    <w:rsid w:val="002D222E"/>
    <w:rsid w:val="002D65B7"/>
    <w:rsid w:val="002E18A1"/>
    <w:rsid w:val="002E3A4F"/>
    <w:rsid w:val="0030758A"/>
    <w:rsid w:val="00317295"/>
    <w:rsid w:val="00317783"/>
    <w:rsid w:val="00320F37"/>
    <w:rsid w:val="0032644D"/>
    <w:rsid w:val="00332939"/>
    <w:rsid w:val="003330AA"/>
    <w:rsid w:val="00354182"/>
    <w:rsid w:val="00356E32"/>
    <w:rsid w:val="00361C13"/>
    <w:rsid w:val="00365A0D"/>
    <w:rsid w:val="0037013C"/>
    <w:rsid w:val="00375082"/>
    <w:rsid w:val="00385C7C"/>
    <w:rsid w:val="003862A3"/>
    <w:rsid w:val="00395D40"/>
    <w:rsid w:val="003D28B8"/>
    <w:rsid w:val="003D29D4"/>
    <w:rsid w:val="003E3F78"/>
    <w:rsid w:val="003F6467"/>
    <w:rsid w:val="00406E86"/>
    <w:rsid w:val="00420986"/>
    <w:rsid w:val="00430E2F"/>
    <w:rsid w:val="00437CB4"/>
    <w:rsid w:val="00452098"/>
    <w:rsid w:val="00453DFE"/>
    <w:rsid w:val="00472B9F"/>
    <w:rsid w:val="00473D67"/>
    <w:rsid w:val="00491A0B"/>
    <w:rsid w:val="004D1DB3"/>
    <w:rsid w:val="004D26BA"/>
    <w:rsid w:val="004D46A6"/>
    <w:rsid w:val="004E07EA"/>
    <w:rsid w:val="004F3C95"/>
    <w:rsid w:val="004F5A9C"/>
    <w:rsid w:val="005031AB"/>
    <w:rsid w:val="00505F3D"/>
    <w:rsid w:val="00515C5A"/>
    <w:rsid w:val="0052210D"/>
    <w:rsid w:val="00532CB2"/>
    <w:rsid w:val="00537E81"/>
    <w:rsid w:val="00563B36"/>
    <w:rsid w:val="005755DC"/>
    <w:rsid w:val="00586E09"/>
    <w:rsid w:val="005A3F88"/>
    <w:rsid w:val="005C602A"/>
    <w:rsid w:val="005D1E8E"/>
    <w:rsid w:val="005E70B2"/>
    <w:rsid w:val="006128D9"/>
    <w:rsid w:val="00625BD5"/>
    <w:rsid w:val="00650825"/>
    <w:rsid w:val="006623C3"/>
    <w:rsid w:val="00671D0B"/>
    <w:rsid w:val="006977FA"/>
    <w:rsid w:val="006A1811"/>
    <w:rsid w:val="006B1A86"/>
    <w:rsid w:val="006C4768"/>
    <w:rsid w:val="00704E33"/>
    <w:rsid w:val="007123CC"/>
    <w:rsid w:val="007143F3"/>
    <w:rsid w:val="0071648D"/>
    <w:rsid w:val="00750245"/>
    <w:rsid w:val="0077698E"/>
    <w:rsid w:val="00777C25"/>
    <w:rsid w:val="00780D85"/>
    <w:rsid w:val="00791112"/>
    <w:rsid w:val="007A4376"/>
    <w:rsid w:val="007A7C6F"/>
    <w:rsid w:val="007C23AB"/>
    <w:rsid w:val="007C62B8"/>
    <w:rsid w:val="007F49BC"/>
    <w:rsid w:val="007F4B1B"/>
    <w:rsid w:val="00801E99"/>
    <w:rsid w:val="00806383"/>
    <w:rsid w:val="0083129C"/>
    <w:rsid w:val="008510F7"/>
    <w:rsid w:val="00875568"/>
    <w:rsid w:val="008978B3"/>
    <w:rsid w:val="008B159B"/>
    <w:rsid w:val="008B5826"/>
    <w:rsid w:val="008E7CA9"/>
    <w:rsid w:val="008F2DCB"/>
    <w:rsid w:val="00915D3A"/>
    <w:rsid w:val="0092141B"/>
    <w:rsid w:val="00921CBB"/>
    <w:rsid w:val="0094135B"/>
    <w:rsid w:val="00951E2B"/>
    <w:rsid w:val="00953911"/>
    <w:rsid w:val="00955CA0"/>
    <w:rsid w:val="009576C9"/>
    <w:rsid w:val="0097449D"/>
    <w:rsid w:val="00981887"/>
    <w:rsid w:val="009A1E1C"/>
    <w:rsid w:val="009B210C"/>
    <w:rsid w:val="009D6071"/>
    <w:rsid w:val="009E7653"/>
    <w:rsid w:val="009F220D"/>
    <w:rsid w:val="009F3C52"/>
    <w:rsid w:val="00A06397"/>
    <w:rsid w:val="00A31042"/>
    <w:rsid w:val="00A33EF5"/>
    <w:rsid w:val="00A5617C"/>
    <w:rsid w:val="00A66AAA"/>
    <w:rsid w:val="00A72404"/>
    <w:rsid w:val="00A74840"/>
    <w:rsid w:val="00A82555"/>
    <w:rsid w:val="00AA7A61"/>
    <w:rsid w:val="00AC2F61"/>
    <w:rsid w:val="00AD556C"/>
    <w:rsid w:val="00AD562D"/>
    <w:rsid w:val="00AF4DCC"/>
    <w:rsid w:val="00B16B00"/>
    <w:rsid w:val="00B37B67"/>
    <w:rsid w:val="00B440F2"/>
    <w:rsid w:val="00B47AB9"/>
    <w:rsid w:val="00B50780"/>
    <w:rsid w:val="00B53488"/>
    <w:rsid w:val="00B547B7"/>
    <w:rsid w:val="00B632E6"/>
    <w:rsid w:val="00B662A3"/>
    <w:rsid w:val="00B70184"/>
    <w:rsid w:val="00BB7007"/>
    <w:rsid w:val="00BC37C5"/>
    <w:rsid w:val="00BC44DB"/>
    <w:rsid w:val="00BE0BC8"/>
    <w:rsid w:val="00C16D55"/>
    <w:rsid w:val="00C2396B"/>
    <w:rsid w:val="00C34728"/>
    <w:rsid w:val="00C42D73"/>
    <w:rsid w:val="00C42E20"/>
    <w:rsid w:val="00C82F8F"/>
    <w:rsid w:val="00C917C4"/>
    <w:rsid w:val="00C92F26"/>
    <w:rsid w:val="00CA1A54"/>
    <w:rsid w:val="00CC09EF"/>
    <w:rsid w:val="00CC2905"/>
    <w:rsid w:val="00CC3FD1"/>
    <w:rsid w:val="00CE7ED2"/>
    <w:rsid w:val="00CF2271"/>
    <w:rsid w:val="00CF2D96"/>
    <w:rsid w:val="00CF492B"/>
    <w:rsid w:val="00D10BD4"/>
    <w:rsid w:val="00D14E42"/>
    <w:rsid w:val="00D366D2"/>
    <w:rsid w:val="00D445DB"/>
    <w:rsid w:val="00D64AA0"/>
    <w:rsid w:val="00D666D8"/>
    <w:rsid w:val="00D73625"/>
    <w:rsid w:val="00DA1FE4"/>
    <w:rsid w:val="00DA5E16"/>
    <w:rsid w:val="00DC7CB8"/>
    <w:rsid w:val="00E05C9C"/>
    <w:rsid w:val="00E17427"/>
    <w:rsid w:val="00E46FE1"/>
    <w:rsid w:val="00E653BC"/>
    <w:rsid w:val="00EA27F0"/>
    <w:rsid w:val="00EA45F1"/>
    <w:rsid w:val="00EA55D6"/>
    <w:rsid w:val="00EB1A4E"/>
    <w:rsid w:val="00EB6EE4"/>
    <w:rsid w:val="00ED39CE"/>
    <w:rsid w:val="00EE3CD6"/>
    <w:rsid w:val="00EF3962"/>
    <w:rsid w:val="00EF5CCD"/>
    <w:rsid w:val="00EF5FA7"/>
    <w:rsid w:val="00F260A9"/>
    <w:rsid w:val="00F31F40"/>
    <w:rsid w:val="00F608F2"/>
    <w:rsid w:val="00F8687B"/>
    <w:rsid w:val="00FB32D5"/>
    <w:rsid w:val="00F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2E8C02"/>
  <w15:chartTrackingRefBased/>
  <w15:docId w15:val="{A8EFFF5F-265F-46FD-9BBE-9614B3AA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2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C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A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5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568"/>
  </w:style>
  <w:style w:type="paragraph" w:styleId="Footer">
    <w:name w:val="footer"/>
    <w:basedOn w:val="Normal"/>
    <w:link w:val="FooterChar"/>
    <w:uiPriority w:val="99"/>
    <w:unhideWhenUsed/>
    <w:qFormat/>
    <w:rsid w:val="00875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568"/>
  </w:style>
  <w:style w:type="paragraph" w:styleId="NoSpacing">
    <w:name w:val="No Spacing"/>
    <w:uiPriority w:val="1"/>
    <w:qFormat/>
    <w:rsid w:val="00875568"/>
    <w:pPr>
      <w:spacing w:after="0" w:line="240" w:lineRule="auto"/>
    </w:pPr>
  </w:style>
  <w:style w:type="table" w:styleId="TableGrid">
    <w:name w:val="Table Grid"/>
    <w:basedOn w:val="TableNormal"/>
    <w:uiPriority w:val="39"/>
    <w:rsid w:val="00080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3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0A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F49B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862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rsid w:val="00437CB4"/>
    <w:rPr>
      <w:u w:val="single"/>
    </w:rPr>
  </w:style>
  <w:style w:type="paragraph" w:customStyle="1" w:styleId="Body">
    <w:name w:val="Body"/>
    <w:rsid w:val="00437CB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character" w:customStyle="1" w:styleId="Hyperlink0">
    <w:name w:val="Hyperlink.0"/>
    <w:basedOn w:val="Hyperlink"/>
    <w:rsid w:val="00437CB4"/>
    <w:rPr>
      <w:u w:val="single"/>
    </w:rPr>
  </w:style>
  <w:style w:type="paragraph" w:customStyle="1" w:styleId="Default">
    <w:name w:val="Default"/>
    <w:rsid w:val="00437CB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437C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C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CB4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B58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5C5A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1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1CBB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C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317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7295"/>
    <w:rPr>
      <w:b/>
      <w:bCs/>
    </w:rPr>
  </w:style>
  <w:style w:type="character" w:styleId="Emphasis">
    <w:name w:val="Emphasis"/>
    <w:basedOn w:val="DefaultParagraphFont"/>
    <w:uiPriority w:val="20"/>
    <w:qFormat/>
    <w:rsid w:val="00317295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A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955C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olyn@wingermarketing.com" TargetMode="External"/><Relationship Id="rId13" Type="http://schemas.openxmlformats.org/officeDocument/2006/relationships/hyperlink" Target="mailto:info@hsgadvisors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inkedin.com/company/healthcare-strategy-group-llc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sgadvisors.com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hsgadvisors.com/case-studies/ambulatory-revenue-cycle-assessment-and-turnaroun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sgadvisors.com/case-studies/ambulatory-revenue-cycle-assessment-and-turnaround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HSG">
      <a:majorFont>
        <a:latin typeface="Century Gothic"/>
        <a:ea typeface=""/>
        <a:cs typeface=""/>
      </a:majorFont>
      <a:minorFont>
        <a:latin typeface="Ebrima 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7FCAE21-75D1-2141-84DF-19BC8B88F620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AA376-9002-467C-845F-3542A9525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3152</Characters>
  <Application>Microsoft Office Word</Application>
  <DocSecurity>0</DocSecurity>
  <Lines>48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Walls</dc:creator>
  <cp:keywords/>
  <dc:description/>
  <cp:lastModifiedBy>Karolyn Raphael</cp:lastModifiedBy>
  <cp:revision>2</cp:revision>
  <cp:lastPrinted>2016-07-18T20:23:00Z</cp:lastPrinted>
  <dcterms:created xsi:type="dcterms:W3CDTF">2021-11-29T21:10:00Z</dcterms:created>
  <dcterms:modified xsi:type="dcterms:W3CDTF">2021-11-29T21:10:00Z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documentId_9464</vt:lpwstr>
  </property>
  <property fmtid="{D5CDD505-2E9C-101B-9397-08002B2CF9AE}" pid="3" name="grammarly_documentContext">
    <vt:lpwstr>{"goals":[],"domain":"general","emotions":[],"dialect":"american"}</vt:lpwstr>
  </property>
</Properties>
</file>