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374" w:rsidRPr="00E614B9" w:rsidRDefault="00EC7682" w:rsidP="006A7889">
      <w:pPr>
        <w:pStyle w:val="Heading1"/>
        <w:rPr>
          <w:sz w:val="36"/>
        </w:rPr>
      </w:pPr>
      <w:r w:rsidRPr="00E614B9">
        <w:rPr>
          <w:sz w:val="36"/>
        </w:rPr>
        <w:t>Aim Exploration Completes Reports on its</w:t>
      </w:r>
      <w:r w:rsidR="00C65F66" w:rsidRPr="00E614B9">
        <w:rPr>
          <w:sz w:val="36"/>
        </w:rPr>
        <w:t xml:space="preserve"> </w:t>
      </w:r>
      <w:r w:rsidRPr="00E614B9">
        <w:rPr>
          <w:sz w:val="36"/>
        </w:rPr>
        <w:t>A</w:t>
      </w:r>
      <w:r w:rsidR="00C65F66" w:rsidRPr="00E614B9">
        <w:rPr>
          <w:sz w:val="36"/>
        </w:rPr>
        <w:t xml:space="preserve">bility to </w:t>
      </w:r>
      <w:r w:rsidRPr="00E614B9">
        <w:rPr>
          <w:sz w:val="36"/>
        </w:rPr>
        <w:t>S</w:t>
      </w:r>
      <w:r w:rsidR="00C65F66" w:rsidRPr="00E614B9">
        <w:rPr>
          <w:sz w:val="36"/>
        </w:rPr>
        <w:t xml:space="preserve">hip </w:t>
      </w:r>
      <w:r w:rsidRPr="00E614B9">
        <w:rPr>
          <w:sz w:val="36"/>
        </w:rPr>
        <w:t>C</w:t>
      </w:r>
      <w:r w:rsidR="00C65F66" w:rsidRPr="00E614B9">
        <w:rPr>
          <w:sz w:val="36"/>
        </w:rPr>
        <w:t xml:space="preserve">oal </w:t>
      </w:r>
      <w:r w:rsidRPr="00E614B9">
        <w:rPr>
          <w:sz w:val="36"/>
        </w:rPr>
        <w:t>Y</w:t>
      </w:r>
      <w:r w:rsidR="00C65F66" w:rsidRPr="00E614B9">
        <w:rPr>
          <w:sz w:val="36"/>
        </w:rPr>
        <w:t>ear-</w:t>
      </w:r>
      <w:r w:rsidRPr="00E614B9">
        <w:rPr>
          <w:sz w:val="36"/>
        </w:rPr>
        <w:t>R</w:t>
      </w:r>
      <w:r w:rsidR="00C65F66" w:rsidRPr="00E614B9">
        <w:rPr>
          <w:sz w:val="36"/>
        </w:rPr>
        <w:t xml:space="preserve">ound via the </w:t>
      </w:r>
      <w:r w:rsidR="00022E47" w:rsidRPr="00E614B9">
        <w:rPr>
          <w:sz w:val="36"/>
        </w:rPr>
        <w:t xml:space="preserve">Port of </w:t>
      </w:r>
      <w:proofErr w:type="spellStart"/>
      <w:r w:rsidR="00022E47" w:rsidRPr="00E614B9">
        <w:rPr>
          <w:sz w:val="36"/>
        </w:rPr>
        <w:t>Salaverry</w:t>
      </w:r>
      <w:proofErr w:type="spellEnd"/>
      <w:r w:rsidR="00A10831" w:rsidRPr="00E614B9">
        <w:rPr>
          <w:sz w:val="36"/>
        </w:rPr>
        <w:t>, estimates it coal capacity shipments.</w:t>
      </w:r>
    </w:p>
    <w:p w:rsidR="00EC7682" w:rsidRPr="006A7889" w:rsidRDefault="00EC7682" w:rsidP="006A7889">
      <w:pPr>
        <w:rPr>
          <w:rFonts w:eastAsia="Times New Roman"/>
          <w:szCs w:val="24"/>
          <w:lang w:eastAsia="zh-TW"/>
        </w:rPr>
      </w:pPr>
    </w:p>
    <w:p w:rsidR="00022E47" w:rsidRDefault="00EC7682" w:rsidP="006A7889">
      <w:pPr>
        <w:pStyle w:val="Heading2"/>
        <w:rPr>
          <w:b w:val="0"/>
        </w:rPr>
      </w:pPr>
      <w:r w:rsidRPr="00E614B9">
        <w:rPr>
          <w:b w:val="0"/>
        </w:rPr>
        <w:t xml:space="preserve">Headline #2: Imports and price of anthracite at 23-month high, </w:t>
      </w:r>
      <w:r w:rsidR="00022E47" w:rsidRPr="00E614B9">
        <w:rPr>
          <w:b w:val="0"/>
        </w:rPr>
        <w:t xml:space="preserve">Aim Exploration proceeds with its project in Peru, </w:t>
      </w:r>
      <w:r w:rsidRPr="00E614B9">
        <w:rPr>
          <w:b w:val="0"/>
        </w:rPr>
        <w:t>estimates coal capacity shipments.</w:t>
      </w:r>
    </w:p>
    <w:p w:rsidR="00E614B9" w:rsidRPr="00E614B9" w:rsidRDefault="00E614B9" w:rsidP="006A7889">
      <w:pPr>
        <w:pStyle w:val="Heading2"/>
        <w:rPr>
          <w:b w:val="0"/>
        </w:rPr>
      </w:pPr>
      <w:r>
        <w:rPr>
          <w:b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pt;height:113.2pt">
            <v:imagedata r:id="rId6" o:title="aim-logo"/>
          </v:shape>
        </w:pict>
      </w:r>
      <w:r>
        <w:rPr>
          <w:b w:val="0"/>
        </w:rPr>
        <w:pict>
          <v:shape id="_x0000_i1027" type="#_x0000_t75" style="width:224.3pt;height:82.4pt">
            <v:imagedata r:id="rId7" o:title="morningstar"/>
          </v:shape>
        </w:pict>
      </w:r>
      <w:r>
        <w:rPr>
          <w:b w:val="0"/>
        </w:rPr>
        <w:pict>
          <v:shape id="_x0000_i1026" type="#_x0000_t75" style="width:83.25pt;height:17.05pt">
            <v:imagedata r:id="rId8" o:title="otcqb"/>
          </v:shape>
        </w:pict>
      </w:r>
    </w:p>
    <w:p w:rsidR="00E614B9" w:rsidRDefault="00E614B9" w:rsidP="00E614B9">
      <w:pPr>
        <w:pStyle w:val="Heading3"/>
        <w:rPr>
          <w:rStyle w:val="Emphasis"/>
          <w:szCs w:val="24"/>
        </w:rPr>
      </w:pPr>
      <w:r>
        <w:t>Henderson, NV –December 19</w:t>
      </w:r>
      <w:r w:rsidRPr="00E614B9">
        <w:rPr>
          <w:vertAlign w:val="superscript"/>
        </w:rPr>
        <w:t>th</w:t>
      </w:r>
      <w:r>
        <w:t xml:space="preserve"> 2016</w:t>
      </w:r>
    </w:p>
    <w:p w:rsidR="006A7889" w:rsidRDefault="006A7889" w:rsidP="00E614B9">
      <w:pPr>
        <w:pStyle w:val="Heading3"/>
        <w:rPr>
          <w:rStyle w:val="Emphasis"/>
          <w:szCs w:val="24"/>
        </w:rPr>
      </w:pPr>
      <w:hyperlink r:id="rId9" w:history="1">
        <w:r w:rsidRPr="00E614B9">
          <w:rPr>
            <w:rStyle w:val="Hyperlink"/>
            <w:i/>
            <w:iCs/>
            <w:szCs w:val="24"/>
          </w:rPr>
          <w:t>AIM Exploration Inc. (OTCQB</w:t>
        </w:r>
        <w:proofErr w:type="gramStart"/>
        <w:r w:rsidRPr="00E614B9">
          <w:rPr>
            <w:rStyle w:val="Hyperlink"/>
            <w:i/>
            <w:iCs/>
            <w:szCs w:val="24"/>
          </w:rPr>
          <w:t>:AEXE</w:t>
        </w:r>
        <w:proofErr w:type="gramEnd"/>
        <w:r w:rsidRPr="00E614B9">
          <w:rPr>
            <w:rStyle w:val="Hyperlink"/>
            <w:i/>
            <w:iCs/>
            <w:szCs w:val="24"/>
          </w:rPr>
          <w:t>)</w:t>
        </w:r>
      </w:hyperlink>
      <w:r w:rsidR="00E614B9">
        <w:rPr>
          <w:rStyle w:val="Emphasis"/>
          <w:szCs w:val="24"/>
        </w:rPr>
        <w:t xml:space="preserve"> (OTCBB:AEXE) (OTC: AEXE) ($AEXE) </w:t>
      </w:r>
      <w:r w:rsidRPr="00E614B9">
        <w:rPr>
          <w:rStyle w:val="Emphasis"/>
          <w:szCs w:val="24"/>
        </w:rPr>
        <w:t xml:space="preserve"> is pleased to provide a comprehensive </w:t>
      </w:r>
      <w:r w:rsidR="00E614B9" w:rsidRPr="00E614B9">
        <w:rPr>
          <w:rStyle w:val="Emphasis"/>
          <w:szCs w:val="24"/>
        </w:rPr>
        <w:t xml:space="preserve">report of its flagship Coal mine Operation </w:t>
      </w:r>
      <w:r w:rsidRPr="00E614B9">
        <w:rPr>
          <w:rStyle w:val="Emphasis"/>
          <w:szCs w:val="24"/>
        </w:rPr>
        <w:t xml:space="preserve">as of </w:t>
      </w:r>
      <w:r w:rsidR="00E614B9" w:rsidRPr="00E614B9">
        <w:rPr>
          <w:rStyle w:val="Emphasis"/>
          <w:szCs w:val="24"/>
        </w:rPr>
        <w:t xml:space="preserve">December </w:t>
      </w:r>
      <w:r w:rsidRPr="00E614B9">
        <w:rPr>
          <w:rStyle w:val="Emphasis"/>
          <w:szCs w:val="24"/>
        </w:rPr>
        <w:t>2016</w:t>
      </w:r>
      <w:r w:rsidR="00E614B9" w:rsidRPr="00E614B9">
        <w:rPr>
          <w:rStyle w:val="Emphasis"/>
          <w:szCs w:val="24"/>
        </w:rPr>
        <w:t xml:space="preserve">. </w:t>
      </w:r>
    </w:p>
    <w:p w:rsidR="00EC7682" w:rsidRPr="006A7889" w:rsidRDefault="00EC7682" w:rsidP="006A7889">
      <w:pPr>
        <w:rPr>
          <w:rFonts w:eastAsia="Times New Roman"/>
          <w:szCs w:val="24"/>
          <w:lang w:eastAsia="zh-TW"/>
        </w:rPr>
      </w:pPr>
      <w:r w:rsidRPr="006A7889">
        <w:rPr>
          <w:rFonts w:eastAsia="Times New Roman"/>
          <w:szCs w:val="24"/>
          <w:lang w:eastAsia="zh-TW"/>
        </w:rPr>
        <w:t>Attention, to our valued shareholders and investors and general coal industry audience:</w:t>
      </w:r>
    </w:p>
    <w:p w:rsidR="00022E47" w:rsidRPr="006A7889" w:rsidRDefault="00022E47" w:rsidP="006A7889">
      <w:pPr>
        <w:rPr>
          <w:rFonts w:eastAsia="Times New Roman"/>
          <w:szCs w:val="24"/>
          <w:lang w:eastAsia="zh-TW"/>
        </w:rPr>
      </w:pPr>
      <w:r w:rsidRPr="006A7889">
        <w:rPr>
          <w:rFonts w:eastAsia="Times New Roman"/>
          <w:szCs w:val="24"/>
          <w:lang w:eastAsia="zh-TW"/>
        </w:rPr>
        <w:t xml:space="preserve">As The Company progresses in preparation for extracting, transporting, and loading of coal, we wish to provide information to our valued investors of </w:t>
      </w:r>
      <w:r w:rsidR="006927C2" w:rsidRPr="006A7889">
        <w:rPr>
          <w:rFonts w:eastAsia="Times New Roman"/>
          <w:szCs w:val="24"/>
          <w:lang w:eastAsia="zh-TW"/>
        </w:rPr>
        <w:t xml:space="preserve">the strategic port of </w:t>
      </w:r>
      <w:proofErr w:type="spellStart"/>
      <w:r w:rsidR="006927C2" w:rsidRPr="006A7889">
        <w:rPr>
          <w:rFonts w:eastAsia="Times New Roman"/>
          <w:szCs w:val="24"/>
          <w:lang w:eastAsia="zh-TW"/>
        </w:rPr>
        <w:t>Salaverry</w:t>
      </w:r>
      <w:proofErr w:type="spellEnd"/>
      <w:r w:rsidR="006927C2" w:rsidRPr="006A7889">
        <w:rPr>
          <w:rFonts w:eastAsia="Times New Roman"/>
          <w:szCs w:val="24"/>
          <w:lang w:eastAsia="zh-TW"/>
        </w:rPr>
        <w:t xml:space="preserve">, </w:t>
      </w:r>
      <w:r w:rsidRPr="006A7889">
        <w:rPr>
          <w:rFonts w:eastAsia="Times New Roman"/>
          <w:szCs w:val="24"/>
          <w:lang w:eastAsia="zh-TW"/>
        </w:rPr>
        <w:t xml:space="preserve"> is located 17km from the city of Trujillo. Latitude </w:t>
      </w:r>
      <w:r w:rsidRPr="006A7889">
        <w:rPr>
          <w:szCs w:val="24"/>
        </w:rPr>
        <w:t>-8º -9' -54' S</w:t>
      </w:r>
      <w:r w:rsidR="00210B58" w:rsidRPr="006A7889">
        <w:rPr>
          <w:szCs w:val="24"/>
        </w:rPr>
        <w:t>,</w:t>
      </w:r>
      <w:r w:rsidRPr="006A7889">
        <w:rPr>
          <w:szCs w:val="24"/>
        </w:rPr>
        <w:t xml:space="preserve"> Longitude  -79º 0' -38' W</w:t>
      </w:r>
      <w:r w:rsidR="00284C93" w:rsidRPr="006A7889">
        <w:rPr>
          <w:szCs w:val="24"/>
        </w:rPr>
        <w:t>.</w:t>
      </w:r>
    </w:p>
    <w:p w:rsidR="00022E47" w:rsidRPr="006A7889" w:rsidRDefault="00022E47" w:rsidP="006A7889">
      <w:pPr>
        <w:rPr>
          <w:szCs w:val="24"/>
        </w:rPr>
      </w:pPr>
      <w:r w:rsidRPr="006A7889">
        <w:rPr>
          <w:szCs w:val="24"/>
        </w:rPr>
        <w:t xml:space="preserve">Its Cargo Pier water depth meets our </w:t>
      </w:r>
      <w:r w:rsidR="006927C2" w:rsidRPr="006A7889">
        <w:rPr>
          <w:szCs w:val="24"/>
        </w:rPr>
        <w:t>demands for coal shipments</w:t>
      </w:r>
      <w:r w:rsidRPr="006A7889">
        <w:rPr>
          <w:szCs w:val="24"/>
        </w:rPr>
        <w:t xml:space="preserve"> at 31 - 35 feet (9.4 - 10 meters). Tide information is updated daily. Tug assist is on-ready, and quarantine stations with </w:t>
      </w:r>
      <w:proofErr w:type="spellStart"/>
      <w:r w:rsidRPr="006A7889">
        <w:rPr>
          <w:szCs w:val="24"/>
        </w:rPr>
        <w:t>Deratt</w:t>
      </w:r>
      <w:proofErr w:type="spellEnd"/>
      <w:r w:rsidRPr="006A7889">
        <w:rPr>
          <w:szCs w:val="24"/>
        </w:rPr>
        <w:t xml:space="preserve"> Cert (Ship sanitation cert</w:t>
      </w:r>
      <w:r w:rsidR="00295C79" w:rsidRPr="006A7889">
        <w:rPr>
          <w:szCs w:val="24"/>
        </w:rPr>
        <w:t>ification</w:t>
      </w:r>
      <w:r w:rsidRPr="006A7889">
        <w:rPr>
          <w:szCs w:val="24"/>
        </w:rPr>
        <w:t>) is present. Air, Radio, and Telephone communications are on-ready.</w:t>
      </w:r>
    </w:p>
    <w:p w:rsidR="00EC7682" w:rsidRPr="006A7889" w:rsidRDefault="00022E47" w:rsidP="006A7889">
      <w:pPr>
        <w:rPr>
          <w:rFonts w:eastAsia="Times New Roman"/>
          <w:szCs w:val="24"/>
          <w:lang w:eastAsia="zh-TW"/>
        </w:rPr>
      </w:pPr>
      <w:r w:rsidRPr="006A7889">
        <w:rPr>
          <w:rFonts w:eastAsia="Times New Roman"/>
          <w:szCs w:val="24"/>
          <w:lang w:eastAsia="zh-TW"/>
        </w:rPr>
        <w:t>It is a major port and has met our potential client demands for Ship repairs, with refueling oil and diesel oil, water/provisioning/engine maintenance.</w:t>
      </w:r>
      <w:r w:rsidR="00EC7682" w:rsidRPr="006A7889">
        <w:rPr>
          <w:rFonts w:eastAsia="Times New Roman"/>
          <w:szCs w:val="24"/>
          <w:lang w:eastAsia="zh-TW"/>
        </w:rPr>
        <w:t xml:space="preserve"> </w:t>
      </w:r>
      <w:r w:rsidR="006927C2" w:rsidRPr="006A7889">
        <w:rPr>
          <w:szCs w:val="24"/>
        </w:rPr>
        <w:t>Loading</w:t>
      </w:r>
      <w:r w:rsidR="00EC7682" w:rsidRPr="006A7889">
        <w:rPr>
          <w:szCs w:val="24"/>
        </w:rPr>
        <w:t xml:space="preserve"> of the coal will be done in wharves and on-anchor. Mobile cranes and 24 ton Lists are available for AIM.</w:t>
      </w:r>
    </w:p>
    <w:p w:rsidR="00EC7682" w:rsidRPr="006A7889" w:rsidRDefault="00EC7682" w:rsidP="006A7889">
      <w:pPr>
        <w:rPr>
          <w:rFonts w:eastAsia="Times New Roman"/>
          <w:szCs w:val="24"/>
          <w:lang w:eastAsia="zh-TW"/>
        </w:rPr>
      </w:pPr>
      <w:r w:rsidRPr="006A7889">
        <w:rPr>
          <w:rFonts w:eastAsia="Times New Roman"/>
          <w:szCs w:val="24"/>
          <w:lang w:eastAsia="zh-TW"/>
        </w:rPr>
        <w:lastRenderedPageBreak/>
        <w:t>There are neither tide entrance restrictions n</w:t>
      </w:r>
      <w:r w:rsidR="006927C2" w:rsidRPr="006A7889">
        <w:rPr>
          <w:rFonts w:eastAsia="Times New Roman"/>
          <w:szCs w:val="24"/>
          <w:lang w:eastAsia="zh-TW"/>
        </w:rPr>
        <w:t xml:space="preserve">or overhead limits. </w:t>
      </w:r>
    </w:p>
    <w:p w:rsidR="00022E47" w:rsidRPr="006A7889" w:rsidRDefault="00C65F66" w:rsidP="006A7889">
      <w:pPr>
        <w:rPr>
          <w:rFonts w:eastAsia="Times New Roman"/>
          <w:szCs w:val="24"/>
          <w:lang w:eastAsia="zh-TW"/>
        </w:rPr>
      </w:pPr>
      <w:r w:rsidRPr="006A7889">
        <w:rPr>
          <w:rFonts w:eastAsia="Times New Roman"/>
          <w:szCs w:val="24"/>
          <w:lang w:eastAsia="zh-TW"/>
        </w:rPr>
        <w:t xml:space="preserve">The Company has studied and consulted with its advisors, clients, and the port, and are pleased that the port is appropriate for year round loading and can provide year round shipping of coal. This efficiency allows the Company to provide coal in a cost </w:t>
      </w:r>
      <w:proofErr w:type="gramStart"/>
      <w:r w:rsidRPr="006A7889">
        <w:rPr>
          <w:rFonts w:eastAsia="Times New Roman"/>
          <w:szCs w:val="24"/>
          <w:lang w:eastAsia="zh-TW"/>
        </w:rPr>
        <w:t>effective,</w:t>
      </w:r>
      <w:proofErr w:type="gramEnd"/>
      <w:r w:rsidRPr="006A7889">
        <w:rPr>
          <w:rFonts w:eastAsia="Times New Roman"/>
          <w:szCs w:val="24"/>
          <w:lang w:eastAsia="zh-TW"/>
        </w:rPr>
        <w:t xml:space="preserve"> and nimble on-demand manner. </w:t>
      </w:r>
    </w:p>
    <w:p w:rsidR="00D11507" w:rsidRPr="006A7889" w:rsidRDefault="00D11507" w:rsidP="006A7889">
      <w:pPr>
        <w:rPr>
          <w:szCs w:val="24"/>
        </w:rPr>
      </w:pPr>
      <w:r w:rsidRPr="006A7889">
        <w:rPr>
          <w:rFonts w:eastAsia="Times New Roman"/>
          <w:szCs w:val="24"/>
          <w:lang w:eastAsia="zh-TW"/>
        </w:rPr>
        <w:t xml:space="preserve">Coal supply chain approach is how the Company manages its availability. We are developing </w:t>
      </w:r>
      <w:r w:rsidRPr="006A7889">
        <w:rPr>
          <w:szCs w:val="24"/>
        </w:rPr>
        <w:t>clear metrics highlighting our coal inventories at mines and the Port, the arrival date of vessels, the amount of coal being shipped from our mines. The port is ready for coal shipping; cargo shipping constitutes 42% of its monthly usage.</w:t>
      </w:r>
    </w:p>
    <w:p w:rsidR="006927C2" w:rsidRPr="006A7889" w:rsidRDefault="006927C2" w:rsidP="006A7889">
      <w:pPr>
        <w:rPr>
          <w:szCs w:val="24"/>
        </w:rPr>
      </w:pPr>
      <w:r w:rsidRPr="006A7889">
        <w:rPr>
          <w:szCs w:val="24"/>
        </w:rPr>
        <w:t>AIM is positioned to ship 2 to 4 shiploads of anthracite coal per month, currently the spot price exceeds $250.00 MT.</w:t>
      </w:r>
    </w:p>
    <w:p w:rsidR="00D11507" w:rsidRPr="006A7889" w:rsidRDefault="006927C2" w:rsidP="006A7889">
      <w:pPr>
        <w:rPr>
          <w:szCs w:val="24"/>
        </w:rPr>
      </w:pPr>
      <w:r w:rsidRPr="006A7889">
        <w:rPr>
          <w:szCs w:val="24"/>
        </w:rPr>
        <w:t xml:space="preserve"> </w:t>
      </w:r>
      <w:r w:rsidR="00D11507" w:rsidRPr="006A7889">
        <w:rPr>
          <w:szCs w:val="24"/>
        </w:rPr>
        <w:t xml:space="preserve">“Anthracite is necessary for steel and high-grade metal forging products. The prices </w:t>
      </w:r>
      <w:r w:rsidRPr="006A7889">
        <w:rPr>
          <w:szCs w:val="24"/>
        </w:rPr>
        <w:t xml:space="preserve">currently </w:t>
      </w:r>
      <w:r w:rsidR="00D11507" w:rsidRPr="006A7889">
        <w:rPr>
          <w:szCs w:val="24"/>
        </w:rPr>
        <w:t xml:space="preserve">range </w:t>
      </w:r>
      <w:proofErr w:type="gramStart"/>
      <w:r w:rsidR="00D11507" w:rsidRPr="006A7889">
        <w:rPr>
          <w:szCs w:val="24"/>
        </w:rPr>
        <w:t>between $220 - $400USD per ton,</w:t>
      </w:r>
      <w:proofErr w:type="gramEnd"/>
      <w:r w:rsidR="00D11507" w:rsidRPr="006A7889">
        <w:rPr>
          <w:szCs w:val="24"/>
        </w:rPr>
        <w:t xml:space="preserve"> and we have been monitoring the open-market prices, on sxcoal.com and alibaba.com, and they have been on the rise month over month. As the economy expands and with energy demands of G8 and emerging markets are unilaterally in line, we do not see this trend to plateau, rather it is continuing</w:t>
      </w:r>
      <w:r w:rsidR="009174E5" w:rsidRPr="006A7889">
        <w:rPr>
          <w:szCs w:val="24"/>
        </w:rPr>
        <w:t xml:space="preserve"> to put</w:t>
      </w:r>
      <w:r w:rsidR="00D11507" w:rsidRPr="006A7889">
        <w:rPr>
          <w:szCs w:val="24"/>
        </w:rPr>
        <w:t xml:space="preserve"> </w:t>
      </w:r>
      <w:r w:rsidR="009174E5" w:rsidRPr="006A7889">
        <w:rPr>
          <w:szCs w:val="24"/>
        </w:rPr>
        <w:t>price</w:t>
      </w:r>
      <w:r w:rsidR="00D11507" w:rsidRPr="006A7889">
        <w:rPr>
          <w:szCs w:val="24"/>
        </w:rPr>
        <w:t xml:space="preserve"> pressure on un-</w:t>
      </w:r>
      <w:proofErr w:type="spellStart"/>
      <w:r w:rsidR="00D11507" w:rsidRPr="006A7889">
        <w:rPr>
          <w:szCs w:val="24"/>
        </w:rPr>
        <w:t>replenishable</w:t>
      </w:r>
      <w:proofErr w:type="spellEnd"/>
      <w:r w:rsidR="00D11507" w:rsidRPr="006A7889">
        <w:rPr>
          <w:szCs w:val="24"/>
        </w:rPr>
        <w:t xml:space="preserve"> energy resources” , says JR Todhunter, president and CEO of AIM.</w:t>
      </w:r>
    </w:p>
    <w:p w:rsidR="00EC7682" w:rsidRPr="006A7889" w:rsidRDefault="00EC7682" w:rsidP="006A7889">
      <w:pPr>
        <w:rPr>
          <w:szCs w:val="24"/>
        </w:rPr>
      </w:pPr>
      <w:r w:rsidRPr="006A7889">
        <w:rPr>
          <w:szCs w:val="24"/>
        </w:rPr>
        <w:t xml:space="preserve">As of 2016-12-08 15:39:00 </w:t>
      </w:r>
      <w:hyperlink r:id="rId10" w:history="1">
        <w:r w:rsidRPr="006A7889">
          <w:rPr>
            <w:rStyle w:val="Hyperlink"/>
            <w:szCs w:val="24"/>
          </w:rPr>
          <w:t>China Nov coal imports hit 23-month high</w:t>
        </w:r>
      </w:hyperlink>
      <w:r w:rsidRPr="006A7889">
        <w:rPr>
          <w:szCs w:val="24"/>
        </w:rPr>
        <w:t xml:space="preserve"> of 26.97 million </w:t>
      </w:r>
      <w:proofErr w:type="spellStart"/>
      <w:r w:rsidRPr="006A7889">
        <w:rPr>
          <w:szCs w:val="24"/>
        </w:rPr>
        <w:t>tonnes</w:t>
      </w:r>
      <w:proofErr w:type="spellEnd"/>
      <w:r w:rsidRPr="006A7889">
        <w:rPr>
          <w:szCs w:val="24"/>
        </w:rPr>
        <w:t xml:space="preserve"> in Nove</w:t>
      </w:r>
      <w:r w:rsidR="00D11507" w:rsidRPr="006A7889">
        <w:rPr>
          <w:szCs w:val="24"/>
        </w:rPr>
        <w:t xml:space="preserve">mber, up 24.96% from October. Figures and charts are available in image links or via our twitter account. </w:t>
      </w:r>
    </w:p>
    <w:p w:rsidR="00D11507" w:rsidRPr="006A7889" w:rsidRDefault="00D11507" w:rsidP="006A7889">
      <w:pPr>
        <w:rPr>
          <w:szCs w:val="24"/>
        </w:rPr>
      </w:pPr>
      <w:r w:rsidRPr="006A7889">
        <w:rPr>
          <w:b/>
          <w:bCs/>
          <w:noProof/>
          <w:szCs w:val="24"/>
        </w:rPr>
        <w:drawing>
          <wp:inline distT="0" distB="0" distL="0" distR="0">
            <wp:extent cx="5943600" cy="2306084"/>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943600" cy="2306084"/>
                    </a:xfrm>
                    <a:prstGeom prst="rect">
                      <a:avLst/>
                    </a:prstGeom>
                    <a:noFill/>
                    <a:ln w="9525">
                      <a:noFill/>
                      <a:miter lim="800000"/>
                      <a:headEnd/>
                      <a:tailEnd/>
                    </a:ln>
                  </pic:spPr>
                </pic:pic>
              </a:graphicData>
            </a:graphic>
          </wp:inline>
        </w:drawing>
      </w:r>
    </w:p>
    <w:p w:rsidR="00E614B9" w:rsidRDefault="00E614B9" w:rsidP="006A7889">
      <w:pPr>
        <w:rPr>
          <w:rStyle w:val="Emphasis"/>
          <w:szCs w:val="24"/>
        </w:rPr>
      </w:pPr>
    </w:p>
    <w:p w:rsidR="00E614B9" w:rsidRDefault="00E614B9" w:rsidP="006A7889">
      <w:pPr>
        <w:rPr>
          <w:rStyle w:val="Emphasis"/>
          <w:szCs w:val="24"/>
        </w:rPr>
      </w:pPr>
    </w:p>
    <w:p w:rsidR="00D11507" w:rsidRPr="006A7889" w:rsidRDefault="00D11507" w:rsidP="006A7889">
      <w:pPr>
        <w:rPr>
          <w:szCs w:val="24"/>
        </w:rPr>
      </w:pPr>
      <w:r w:rsidRPr="006A7889">
        <w:rPr>
          <w:rStyle w:val="Emphasis"/>
          <w:szCs w:val="24"/>
        </w:rPr>
        <w:t xml:space="preserve">About Aim Exploration: </w:t>
      </w:r>
    </w:p>
    <w:p w:rsidR="00D11507" w:rsidRPr="006A7889" w:rsidRDefault="00D11507" w:rsidP="006A7889">
      <w:pPr>
        <w:rPr>
          <w:szCs w:val="24"/>
        </w:rPr>
      </w:pPr>
      <w:r w:rsidRPr="006A7889">
        <w:rPr>
          <w:rStyle w:val="Emphasis"/>
          <w:szCs w:val="24"/>
        </w:rPr>
        <w:t>The Company is an Anthracite coal mining and exploration company and plans to mine 1,000 hectares of land. We have expertise in business, mining, and legal with our distinguished board of directors</w:t>
      </w:r>
      <w:r w:rsidR="006927C2" w:rsidRPr="006A7889">
        <w:rPr>
          <w:rStyle w:val="Emphasis"/>
          <w:szCs w:val="24"/>
        </w:rPr>
        <w:t xml:space="preserve"> and advisory board</w:t>
      </w:r>
      <w:proofErr w:type="gramStart"/>
      <w:r w:rsidR="006927C2" w:rsidRPr="006A7889">
        <w:rPr>
          <w:rStyle w:val="Emphasis"/>
          <w:szCs w:val="24"/>
        </w:rPr>
        <w:t>.</w:t>
      </w:r>
      <w:r w:rsidRPr="006A7889">
        <w:rPr>
          <w:rStyle w:val="Emphasis"/>
          <w:szCs w:val="24"/>
        </w:rPr>
        <w:t>.</w:t>
      </w:r>
      <w:proofErr w:type="gramEnd"/>
      <w:r w:rsidRPr="006A7889">
        <w:rPr>
          <w:rStyle w:val="Emphasis"/>
          <w:szCs w:val="24"/>
        </w:rPr>
        <w:t xml:space="preserve"> We have amicable relationships with all parties involved in mining in Peru. We are a SEC reporting publicly traded company with the symbol (OTC: AEXE).</w:t>
      </w:r>
    </w:p>
    <w:p w:rsidR="00D11507" w:rsidRPr="006A7889" w:rsidRDefault="00D11507" w:rsidP="006A7889">
      <w:pPr>
        <w:rPr>
          <w:szCs w:val="24"/>
        </w:rPr>
      </w:pPr>
      <w:r w:rsidRPr="006A7889">
        <w:rPr>
          <w:szCs w:val="24"/>
        </w:rPr>
        <w:t> </w:t>
      </w:r>
    </w:p>
    <w:p w:rsidR="00D11507" w:rsidRPr="006A7889" w:rsidRDefault="00D11507" w:rsidP="006A7889">
      <w:pPr>
        <w:rPr>
          <w:szCs w:val="24"/>
        </w:rPr>
      </w:pPr>
      <w:r w:rsidRPr="006A7889">
        <w:rPr>
          <w:rStyle w:val="Strong"/>
          <w:szCs w:val="24"/>
        </w:rPr>
        <w:t xml:space="preserve">Forward-Looking Statements and Disclosures </w:t>
      </w:r>
      <w:r w:rsidRPr="006A7889">
        <w:rPr>
          <w:rStyle w:val="Emphasis"/>
          <w:szCs w:val="24"/>
        </w:rPr>
        <w:t>Certain information set forth in this press release contains "forward-looking statements" and "forward-looking information" under applicable securities laws. Except for statements of historical fact, certain information contained herein constitutes forward-looking statements, which include management's assessment of future plans and operations and are based on current internal expectations, estimates, projections, assumptions and beliefs, which may prove to be incorrect. Some of the forward-looking statements may be identified by words such as "estimates," "expects," "anticipates," "believes," "projects," "plans," "targets," and similar expressions. These statements are not guarantees of future performance and undue reliance should not be placed on them. Such forward-looking statements necessarily involve known and unknown risks and uncertainties, which may cause AIM's actual performance and financial results in future periods to differ materially from any projections of future performance or results expressed or implied by such forward-looking statements.</w:t>
      </w:r>
    </w:p>
    <w:p w:rsidR="00D11507" w:rsidRPr="006A7889" w:rsidRDefault="00D11507" w:rsidP="006A7889">
      <w:pPr>
        <w:rPr>
          <w:szCs w:val="24"/>
        </w:rPr>
      </w:pPr>
      <w:r w:rsidRPr="006A7889">
        <w:rPr>
          <w:rStyle w:val="Emphasis"/>
          <w:szCs w:val="24"/>
        </w:rPr>
        <w:t> </w:t>
      </w:r>
    </w:p>
    <w:p w:rsidR="00D11507" w:rsidRPr="006A7889" w:rsidRDefault="00D11507" w:rsidP="006A7889">
      <w:pPr>
        <w:rPr>
          <w:szCs w:val="24"/>
        </w:rPr>
      </w:pPr>
      <w:r w:rsidRPr="006A7889">
        <w:rPr>
          <w:szCs w:val="24"/>
        </w:rPr>
        <w:t>Contact:</w:t>
      </w:r>
    </w:p>
    <w:p w:rsidR="00D11507" w:rsidRPr="006A7889" w:rsidRDefault="00D11507" w:rsidP="006A7889">
      <w:pPr>
        <w:rPr>
          <w:szCs w:val="24"/>
        </w:rPr>
      </w:pPr>
      <w:r w:rsidRPr="006A7889">
        <w:rPr>
          <w:szCs w:val="24"/>
        </w:rPr>
        <w:t xml:space="preserve">AIM Exploration Inc. </w:t>
      </w:r>
    </w:p>
    <w:p w:rsidR="00D11507" w:rsidRPr="006A7889" w:rsidRDefault="00D11507" w:rsidP="006A7889">
      <w:pPr>
        <w:rPr>
          <w:szCs w:val="24"/>
        </w:rPr>
      </w:pPr>
      <w:r w:rsidRPr="006A7889">
        <w:rPr>
          <w:szCs w:val="24"/>
        </w:rPr>
        <w:t xml:space="preserve">J.R. (Bob) Todhunter </w:t>
      </w:r>
    </w:p>
    <w:p w:rsidR="00D11507" w:rsidRPr="006A7889" w:rsidRDefault="00D11507" w:rsidP="006A7889">
      <w:pPr>
        <w:rPr>
          <w:szCs w:val="24"/>
        </w:rPr>
      </w:pPr>
      <w:r w:rsidRPr="006A7889">
        <w:rPr>
          <w:szCs w:val="24"/>
        </w:rPr>
        <w:t xml:space="preserve">Director, </w:t>
      </w:r>
      <w:proofErr w:type="gramStart"/>
      <w:r w:rsidRPr="006A7889">
        <w:rPr>
          <w:szCs w:val="24"/>
        </w:rPr>
        <w:t>President &amp;</w:t>
      </w:r>
      <w:proofErr w:type="gramEnd"/>
      <w:r w:rsidRPr="006A7889">
        <w:rPr>
          <w:szCs w:val="24"/>
        </w:rPr>
        <w:t xml:space="preserve"> CEO</w:t>
      </w:r>
    </w:p>
    <w:p w:rsidR="00D11507" w:rsidRDefault="00D11507" w:rsidP="006A7889">
      <w:pPr>
        <w:rPr>
          <w:szCs w:val="24"/>
        </w:rPr>
      </w:pPr>
      <w:r w:rsidRPr="006A7889">
        <w:rPr>
          <w:szCs w:val="24"/>
        </w:rPr>
        <w:t xml:space="preserve">www.aimexploration.com </w:t>
      </w:r>
    </w:p>
    <w:p w:rsidR="00E614B9" w:rsidRPr="006A7889" w:rsidRDefault="00E614B9" w:rsidP="006A7889">
      <w:pPr>
        <w:rPr>
          <w:szCs w:val="24"/>
        </w:rPr>
      </w:pPr>
      <w:proofErr w:type="gramStart"/>
      <w:r>
        <w:rPr>
          <w:szCs w:val="24"/>
        </w:rPr>
        <w:t>twitter</w:t>
      </w:r>
      <w:proofErr w:type="gramEnd"/>
      <w:r>
        <w:rPr>
          <w:szCs w:val="24"/>
        </w:rPr>
        <w:t xml:space="preserve">: </w:t>
      </w:r>
      <w:hyperlink r:id="rId12" w:history="1">
        <w:r w:rsidRPr="000D70A5">
          <w:rPr>
            <w:rStyle w:val="Hyperlink"/>
            <w:szCs w:val="24"/>
          </w:rPr>
          <w:t>www.twitter.com/aexeqb</w:t>
        </w:r>
      </w:hyperlink>
      <w:r>
        <w:rPr>
          <w:szCs w:val="24"/>
        </w:rPr>
        <w:t xml:space="preserve"> or @</w:t>
      </w:r>
      <w:proofErr w:type="spellStart"/>
      <w:r>
        <w:rPr>
          <w:szCs w:val="24"/>
        </w:rPr>
        <w:t>aexeqb</w:t>
      </w:r>
      <w:proofErr w:type="spellEnd"/>
      <w:r>
        <w:rPr>
          <w:szCs w:val="24"/>
        </w:rPr>
        <w:t xml:space="preserve"> </w:t>
      </w:r>
    </w:p>
    <w:p w:rsidR="00A10831" w:rsidRPr="006A7889" w:rsidRDefault="00A10831" w:rsidP="006A7889">
      <w:pPr>
        <w:rPr>
          <w:szCs w:val="24"/>
        </w:rPr>
      </w:pPr>
      <w:r w:rsidRPr="006A7889">
        <w:rPr>
          <w:noProof/>
          <w:szCs w:val="24"/>
          <w:lang w:eastAsia="zh-TW"/>
        </w:rPr>
        <w:lastRenderedPageBreak/>
        <w:drawing>
          <wp:inline distT="0" distB="0" distL="0" distR="0">
            <wp:extent cx="5943600" cy="1560016"/>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943600" cy="1560016"/>
                    </a:xfrm>
                    <a:prstGeom prst="rect">
                      <a:avLst/>
                    </a:prstGeom>
                    <a:noFill/>
                    <a:ln w="9525">
                      <a:noFill/>
                      <a:miter lim="800000"/>
                      <a:headEnd/>
                      <a:tailEnd/>
                    </a:ln>
                  </pic:spPr>
                </pic:pic>
              </a:graphicData>
            </a:graphic>
          </wp:inline>
        </w:drawing>
      </w:r>
    </w:p>
    <w:p w:rsidR="00A10831" w:rsidRPr="006A7889" w:rsidRDefault="00A10831" w:rsidP="006A7889">
      <w:pPr>
        <w:rPr>
          <w:szCs w:val="24"/>
        </w:rPr>
      </w:pPr>
      <w:r w:rsidRPr="006A7889">
        <w:rPr>
          <w:noProof/>
          <w:szCs w:val="24"/>
          <w:lang w:eastAsia="zh-TW"/>
        </w:rPr>
        <w:drawing>
          <wp:inline distT="0" distB="0" distL="0" distR="0">
            <wp:extent cx="5064760" cy="3705225"/>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064760" cy="3705225"/>
                    </a:xfrm>
                    <a:prstGeom prst="rect">
                      <a:avLst/>
                    </a:prstGeom>
                    <a:noFill/>
                    <a:ln w="9525">
                      <a:noFill/>
                      <a:miter lim="800000"/>
                      <a:headEnd/>
                      <a:tailEnd/>
                    </a:ln>
                  </pic:spPr>
                </pic:pic>
              </a:graphicData>
            </a:graphic>
          </wp:inline>
        </w:drawing>
      </w:r>
    </w:p>
    <w:p w:rsidR="00C65F66" w:rsidRPr="006A7889" w:rsidRDefault="00C65F66" w:rsidP="006A7889">
      <w:pPr>
        <w:rPr>
          <w:szCs w:val="24"/>
        </w:rPr>
      </w:pPr>
      <w:bookmarkStart w:id="0" w:name="_GoBack"/>
      <w:bookmarkEnd w:id="0"/>
    </w:p>
    <w:p w:rsidR="00E614B9" w:rsidRDefault="00C65F66" w:rsidP="006A7889">
      <w:pPr>
        <w:rPr>
          <w:szCs w:val="24"/>
        </w:rPr>
      </w:pPr>
      <w:r w:rsidRPr="006A7889">
        <w:rPr>
          <w:szCs w:val="24"/>
        </w:rPr>
        <w:t>References</w:t>
      </w:r>
      <w:r w:rsidR="00E614B9">
        <w:rPr>
          <w:szCs w:val="24"/>
        </w:rPr>
        <w:t xml:space="preserve"> and citations that support our news release:</w:t>
      </w:r>
    </w:p>
    <w:p w:rsidR="00C65F66" w:rsidRPr="006A7889" w:rsidRDefault="00E614B9" w:rsidP="006A7889">
      <w:pPr>
        <w:rPr>
          <w:szCs w:val="24"/>
        </w:rPr>
      </w:pPr>
      <w:r>
        <w:rPr>
          <w:szCs w:val="24"/>
        </w:rPr>
        <w:t>Reference #1</w:t>
      </w:r>
      <w:r w:rsidR="00C65F66" w:rsidRPr="006A7889">
        <w:rPr>
          <w:szCs w:val="24"/>
        </w:rPr>
        <w:t xml:space="preserve">: </w:t>
      </w:r>
      <w:hyperlink r:id="rId15" w:history="1">
        <w:r w:rsidR="00C65F66" w:rsidRPr="006A7889">
          <w:rPr>
            <w:rStyle w:val="Hyperlink"/>
            <w:szCs w:val="24"/>
          </w:rPr>
          <w:t>https://www.worldcoal.org/</w:t>
        </w:r>
      </w:hyperlink>
    </w:p>
    <w:p w:rsidR="00C65F66" w:rsidRPr="006A7889" w:rsidRDefault="00E614B9" w:rsidP="006A7889">
      <w:pPr>
        <w:rPr>
          <w:rFonts w:eastAsia="Times New Roman"/>
          <w:szCs w:val="24"/>
          <w:lang w:eastAsia="zh-TW"/>
        </w:rPr>
      </w:pPr>
      <w:r>
        <w:rPr>
          <w:szCs w:val="24"/>
        </w:rPr>
        <w:t>Reference #2</w:t>
      </w:r>
      <w:r w:rsidRPr="006A7889">
        <w:rPr>
          <w:szCs w:val="24"/>
        </w:rPr>
        <w:t>:</w:t>
      </w:r>
      <w:r>
        <w:rPr>
          <w:szCs w:val="24"/>
        </w:rPr>
        <w:t xml:space="preserve"> </w:t>
      </w:r>
      <w:r w:rsidR="00C65F66" w:rsidRPr="006A7889">
        <w:rPr>
          <w:rFonts w:eastAsia="Times New Roman"/>
          <w:szCs w:val="24"/>
          <w:lang w:eastAsia="zh-TW"/>
        </w:rPr>
        <w:t xml:space="preserve"> </w:t>
      </w:r>
      <w:hyperlink r:id="rId16" w:history="1">
        <w:r w:rsidR="00C65F66" w:rsidRPr="006A7889">
          <w:rPr>
            <w:rStyle w:val="Hyperlink"/>
            <w:rFonts w:eastAsia="Times New Roman"/>
            <w:szCs w:val="24"/>
            <w:lang w:eastAsia="zh-TW"/>
          </w:rPr>
          <w:t>https://www.searates.com</w:t>
        </w:r>
      </w:hyperlink>
      <w:r w:rsidR="00C65F66" w:rsidRPr="006A7889">
        <w:rPr>
          <w:rFonts w:eastAsia="Times New Roman"/>
          <w:szCs w:val="24"/>
          <w:lang w:eastAsia="zh-TW"/>
        </w:rPr>
        <w:t xml:space="preserve"> </w:t>
      </w:r>
    </w:p>
    <w:p w:rsidR="00C65F66" w:rsidRPr="006A7889" w:rsidRDefault="00E614B9" w:rsidP="006A7889">
      <w:pPr>
        <w:rPr>
          <w:rFonts w:eastAsia="Times New Roman"/>
          <w:szCs w:val="24"/>
          <w:lang w:eastAsia="zh-TW"/>
        </w:rPr>
      </w:pPr>
      <w:r>
        <w:rPr>
          <w:szCs w:val="24"/>
        </w:rPr>
        <w:t>Reference #3</w:t>
      </w:r>
      <w:r w:rsidRPr="006A7889">
        <w:rPr>
          <w:szCs w:val="24"/>
        </w:rPr>
        <w:t>:</w:t>
      </w:r>
      <w:r>
        <w:rPr>
          <w:szCs w:val="24"/>
        </w:rPr>
        <w:t xml:space="preserve"> </w:t>
      </w:r>
      <w:hyperlink r:id="rId17" w:history="1">
        <w:r w:rsidR="00D11507" w:rsidRPr="006A7889">
          <w:rPr>
            <w:rStyle w:val="Hyperlink"/>
            <w:rFonts w:eastAsia="Times New Roman"/>
            <w:szCs w:val="24"/>
            <w:lang w:eastAsia="zh-TW"/>
          </w:rPr>
          <w:t>https://en.wikipedia.org/wiki/Bulk_carrier</w:t>
        </w:r>
      </w:hyperlink>
    </w:p>
    <w:p w:rsidR="00D11507" w:rsidRDefault="00E614B9" w:rsidP="006A7889">
      <w:pPr>
        <w:rPr>
          <w:rFonts w:eastAsia="Times New Roman"/>
          <w:szCs w:val="24"/>
          <w:lang w:eastAsia="zh-TW"/>
        </w:rPr>
      </w:pPr>
      <w:r>
        <w:rPr>
          <w:szCs w:val="24"/>
        </w:rPr>
        <w:t>Reference #4</w:t>
      </w:r>
      <w:r w:rsidRPr="006A7889">
        <w:rPr>
          <w:szCs w:val="24"/>
        </w:rPr>
        <w:t>:</w:t>
      </w:r>
      <w:r>
        <w:rPr>
          <w:szCs w:val="24"/>
        </w:rPr>
        <w:t xml:space="preserve"> </w:t>
      </w:r>
      <w:hyperlink r:id="rId18" w:history="1">
        <w:r w:rsidR="00D11507" w:rsidRPr="006A7889">
          <w:rPr>
            <w:rStyle w:val="Hyperlink"/>
            <w:rFonts w:eastAsia="Times New Roman"/>
            <w:szCs w:val="24"/>
            <w:lang w:eastAsia="zh-TW"/>
          </w:rPr>
          <w:t>http://www.sxcoal.com/site/index/en</w:t>
        </w:r>
      </w:hyperlink>
      <w:r w:rsidR="00D11507" w:rsidRPr="006A7889">
        <w:rPr>
          <w:rFonts w:eastAsia="Times New Roman"/>
          <w:szCs w:val="24"/>
          <w:lang w:eastAsia="zh-TW"/>
        </w:rPr>
        <w:t xml:space="preserve"> </w:t>
      </w:r>
    </w:p>
    <w:p w:rsidR="00E614B9" w:rsidRDefault="00E614B9" w:rsidP="006A7889">
      <w:pPr>
        <w:rPr>
          <w:rFonts w:eastAsia="Times New Roman"/>
          <w:szCs w:val="24"/>
          <w:lang w:eastAsia="zh-TW"/>
        </w:rPr>
      </w:pPr>
    </w:p>
    <w:p w:rsidR="00E614B9" w:rsidRDefault="00E614B9" w:rsidP="006A7889">
      <w:pPr>
        <w:rPr>
          <w:rFonts w:eastAsia="Times New Roman"/>
          <w:szCs w:val="24"/>
          <w:lang w:eastAsia="zh-TW"/>
        </w:rPr>
      </w:pPr>
      <w:r>
        <w:rPr>
          <w:rFonts w:eastAsia="Times New Roman"/>
          <w:szCs w:val="24"/>
          <w:lang w:eastAsia="zh-TW"/>
        </w:rPr>
        <w:t>Supplemental information: included in the PDF/ Word document we share our latest anthracite technical lab reports. Indications from these results suggest high grade / highly-marketable anthracite.</w:t>
      </w:r>
    </w:p>
    <w:p w:rsidR="00E614B9" w:rsidRDefault="00E614B9" w:rsidP="006A7889">
      <w:pPr>
        <w:rPr>
          <w:rFonts w:eastAsia="Times New Roman"/>
          <w:szCs w:val="24"/>
          <w:lang w:eastAsia="zh-TW"/>
        </w:rPr>
      </w:pPr>
      <w:r>
        <w:rPr>
          <w:rFonts w:eastAsia="Times New Roman"/>
          <w:noProof/>
          <w:szCs w:val="24"/>
          <w:lang w:eastAsia="zh-TW"/>
        </w:rPr>
        <w:drawing>
          <wp:anchor distT="0" distB="0" distL="114300" distR="114300" simplePos="0" relativeHeight="251658240" behindDoc="1" locked="0" layoutInCell="1" allowOverlap="1">
            <wp:simplePos x="0" y="0"/>
            <wp:positionH relativeFrom="column">
              <wp:posOffset>1303020</wp:posOffset>
            </wp:positionH>
            <wp:positionV relativeFrom="paragraph">
              <wp:posOffset>251460</wp:posOffset>
            </wp:positionV>
            <wp:extent cx="4036060" cy="1955165"/>
            <wp:effectExtent l="19050" t="0" r="2540" b="0"/>
            <wp:wrapTight wrapText="bothSides">
              <wp:wrapPolygon edited="0">
                <wp:start x="-102" y="0"/>
                <wp:lineTo x="-102" y="21467"/>
                <wp:lineTo x="21614" y="21467"/>
                <wp:lineTo x="21614" y="0"/>
                <wp:lineTo x="-102" y="0"/>
              </wp:wrapPolygon>
            </wp:wrapTight>
            <wp:docPr id="21" name="Picture 21" descr="C:\Users\MurphyDen\AppData\Local\Microsoft\Windows\INetCache\Content.Word\aexe-newsrelease-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urphyDen\AppData\Local\Microsoft\Windows\INetCache\Content.Word\aexe-newsrelease-chart.png"/>
                    <pic:cNvPicPr>
                      <a:picLocks noChangeAspect="1" noChangeArrowheads="1"/>
                    </pic:cNvPicPr>
                  </pic:nvPicPr>
                  <pic:blipFill>
                    <a:blip r:embed="rId19" cstate="print"/>
                    <a:srcRect/>
                    <a:stretch>
                      <a:fillRect/>
                    </a:stretch>
                  </pic:blipFill>
                  <pic:spPr bwMode="auto">
                    <a:xfrm>
                      <a:off x="0" y="0"/>
                      <a:ext cx="4036060" cy="1955165"/>
                    </a:xfrm>
                    <a:prstGeom prst="rect">
                      <a:avLst/>
                    </a:prstGeom>
                    <a:noFill/>
                    <a:ln w="9525">
                      <a:noFill/>
                      <a:miter lim="800000"/>
                      <a:headEnd/>
                      <a:tailEnd/>
                    </a:ln>
                  </pic:spPr>
                </pic:pic>
              </a:graphicData>
            </a:graphic>
          </wp:anchor>
        </w:drawing>
      </w:r>
      <w:r>
        <w:rPr>
          <w:rFonts w:eastAsia="Times New Roman"/>
          <w:szCs w:val="24"/>
          <w:lang w:eastAsia="zh-TW"/>
        </w:rPr>
        <w:pict>
          <v:shape id="_x0000_i1028" type="#_x0000_t75" style="width:67.85pt;height:101.95pt">
            <v:imagedata r:id="rId20" o:title="Anthracite_chunk"/>
          </v:shape>
        </w:pict>
      </w:r>
    </w:p>
    <w:p w:rsidR="00E614B9" w:rsidRDefault="00E614B9" w:rsidP="00E614B9">
      <w:pPr>
        <w:pStyle w:val="Subtitle"/>
        <w:jc w:val="center"/>
        <w:rPr>
          <w:lang w:eastAsia="zh-TW"/>
        </w:rPr>
      </w:pPr>
    </w:p>
    <w:p w:rsidR="00E614B9" w:rsidRDefault="00E614B9" w:rsidP="00E614B9">
      <w:pPr>
        <w:pStyle w:val="Subtitle"/>
        <w:jc w:val="center"/>
        <w:rPr>
          <w:lang w:eastAsia="zh-TW"/>
        </w:rPr>
      </w:pPr>
    </w:p>
    <w:p w:rsidR="00E614B9" w:rsidRDefault="00E614B9" w:rsidP="00E614B9">
      <w:pPr>
        <w:pStyle w:val="Subtitle"/>
        <w:jc w:val="center"/>
        <w:rPr>
          <w:lang w:eastAsia="zh-TW"/>
        </w:rPr>
      </w:pPr>
    </w:p>
    <w:p w:rsidR="00E614B9" w:rsidRPr="006A7889" w:rsidRDefault="00E614B9" w:rsidP="00E614B9">
      <w:pPr>
        <w:pStyle w:val="Subtitle"/>
        <w:jc w:val="center"/>
        <w:rPr>
          <w:lang w:eastAsia="zh-TW"/>
        </w:rPr>
      </w:pPr>
      <w:r>
        <w:rPr>
          <w:lang w:eastAsia="zh-TW"/>
        </w:rPr>
        <w:t>End of Document</w:t>
      </w:r>
    </w:p>
    <w:p w:rsidR="00D11507" w:rsidRPr="006A7889" w:rsidRDefault="00D11507" w:rsidP="006A7889">
      <w:pPr>
        <w:rPr>
          <w:rFonts w:eastAsia="Times New Roman"/>
          <w:szCs w:val="24"/>
          <w:lang w:eastAsia="zh-TW"/>
        </w:rPr>
      </w:pPr>
    </w:p>
    <w:p w:rsidR="00022E47" w:rsidRPr="006A7889" w:rsidRDefault="00022E47" w:rsidP="006A7889">
      <w:pPr>
        <w:rPr>
          <w:szCs w:val="24"/>
        </w:rPr>
      </w:pPr>
    </w:p>
    <w:sectPr w:rsidR="00022E47" w:rsidRPr="006A7889" w:rsidSect="00F00724">
      <w:head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4F3" w:rsidRDefault="001514F3" w:rsidP="00E614B9">
      <w:pPr>
        <w:spacing w:after="0" w:line="240" w:lineRule="auto"/>
      </w:pPr>
      <w:r>
        <w:separator/>
      </w:r>
    </w:p>
  </w:endnote>
  <w:endnote w:type="continuationSeparator" w:id="0">
    <w:p w:rsidR="001514F3" w:rsidRDefault="001514F3" w:rsidP="00E61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4F3" w:rsidRDefault="001514F3" w:rsidP="00E614B9">
      <w:pPr>
        <w:spacing w:after="0" w:line="240" w:lineRule="auto"/>
      </w:pPr>
      <w:r>
        <w:separator/>
      </w:r>
    </w:p>
  </w:footnote>
  <w:footnote w:type="continuationSeparator" w:id="0">
    <w:p w:rsidR="001514F3" w:rsidRDefault="001514F3" w:rsidP="00E614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B9" w:rsidRPr="00E614B9" w:rsidRDefault="00E614B9" w:rsidP="00E614B9">
    <w:pPr>
      <w:pStyle w:val="Header"/>
      <w:rPr>
        <w:rFonts w:ascii="Arial" w:hAnsi="Arial" w:cs="Arial"/>
      </w:rPr>
    </w:pPr>
    <w:r>
      <w:rPr>
        <w:noProof/>
        <w:lang w:eastAsia="zh-TW"/>
      </w:rPr>
      <w:drawing>
        <wp:inline distT="0" distB="0" distL="0" distR="0">
          <wp:extent cx="5943600" cy="862829"/>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srcRect/>
                  <a:stretch>
                    <a:fillRect/>
                  </a:stretch>
                </pic:blipFill>
                <pic:spPr bwMode="auto">
                  <a:xfrm>
                    <a:off x="0" y="0"/>
                    <a:ext cx="5943600" cy="862829"/>
                  </a:xfrm>
                  <a:prstGeom prst="rect">
                    <a:avLst/>
                  </a:prstGeom>
                  <a:noFill/>
                  <a:ln w="9525">
                    <a:noFill/>
                    <a:miter lim="800000"/>
                    <a:headEnd/>
                    <a:tailEnd/>
                  </a:ln>
                </pic:spPr>
              </pic:pic>
            </a:graphicData>
          </a:graphic>
        </wp:inline>
      </w:drawing>
    </w:r>
    <w:r>
      <w:rPr>
        <w:rFonts w:ascii="Arial" w:hAnsi="Arial" w:cs="Arial"/>
      </w:rPr>
      <w:t>AimE</w:t>
    </w:r>
    <w:r w:rsidRPr="00E614B9">
      <w:rPr>
        <w:rFonts w:ascii="Arial" w:hAnsi="Arial" w:cs="Arial"/>
      </w:rPr>
      <w:t xml:space="preserve">xploration.com </w:t>
    </w:r>
    <w:r w:rsidRPr="00E614B9">
      <w:rPr>
        <w:rFonts w:ascii="Arial" w:hAnsi="Arial" w:cs="Arial"/>
      </w:rPr>
      <w:tab/>
    </w:r>
    <w:r w:rsidRPr="00E614B9">
      <w:rPr>
        <w:rFonts w:ascii="Arial" w:hAnsi="Arial" w:cs="Arial"/>
      </w:rPr>
      <w:tab/>
    </w:r>
    <w:hyperlink r:id="rId2" w:history="1">
      <w:r w:rsidRPr="00E614B9">
        <w:rPr>
          <w:rStyle w:val="Hyperlink"/>
          <w:rFonts w:ascii="Arial" w:hAnsi="Arial" w:cs="Arial"/>
        </w:rPr>
        <w:t>www.twitter.com/aexeqb</w:t>
      </w:r>
    </w:hyperlink>
    <w:r w:rsidRPr="00E614B9">
      <w:rPr>
        <w:rFonts w:ascii="Arial" w:hAnsi="Arial" w:cs="Arial"/>
      </w:rPr>
      <w:t xml:space="preserve"> or @</w:t>
    </w:r>
    <w:proofErr w:type="spellStart"/>
    <w:r w:rsidRPr="00E614B9">
      <w:rPr>
        <w:rFonts w:ascii="Arial" w:hAnsi="Arial" w:cs="Arial"/>
      </w:rPr>
      <w:t>aexeqb</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useFELayout/>
  </w:compat>
  <w:rsids>
    <w:rsidRoot w:val="00022E47"/>
    <w:rsid w:val="000127A1"/>
    <w:rsid w:val="00022E47"/>
    <w:rsid w:val="00064264"/>
    <w:rsid w:val="00083CD6"/>
    <w:rsid w:val="0009681D"/>
    <w:rsid w:val="000B5E5A"/>
    <w:rsid w:val="0010594E"/>
    <w:rsid w:val="00115852"/>
    <w:rsid w:val="00145537"/>
    <w:rsid w:val="001514F3"/>
    <w:rsid w:val="00156CE6"/>
    <w:rsid w:val="001B5057"/>
    <w:rsid w:val="001E4C44"/>
    <w:rsid w:val="00210B58"/>
    <w:rsid w:val="00226EC0"/>
    <w:rsid w:val="002524B3"/>
    <w:rsid w:val="002549F9"/>
    <w:rsid w:val="00260F3C"/>
    <w:rsid w:val="002735FA"/>
    <w:rsid w:val="00284C93"/>
    <w:rsid w:val="00295C79"/>
    <w:rsid w:val="002D1D17"/>
    <w:rsid w:val="003129C3"/>
    <w:rsid w:val="0036624A"/>
    <w:rsid w:val="003D460E"/>
    <w:rsid w:val="003E1ADD"/>
    <w:rsid w:val="003E1B45"/>
    <w:rsid w:val="003E322B"/>
    <w:rsid w:val="003E719F"/>
    <w:rsid w:val="0041077E"/>
    <w:rsid w:val="004129CD"/>
    <w:rsid w:val="00425F22"/>
    <w:rsid w:val="0048502E"/>
    <w:rsid w:val="00520736"/>
    <w:rsid w:val="0054184B"/>
    <w:rsid w:val="00594A6A"/>
    <w:rsid w:val="005B7022"/>
    <w:rsid w:val="005C3FD6"/>
    <w:rsid w:val="005D0432"/>
    <w:rsid w:val="00600022"/>
    <w:rsid w:val="006108A8"/>
    <w:rsid w:val="00627340"/>
    <w:rsid w:val="00676D2B"/>
    <w:rsid w:val="006927C2"/>
    <w:rsid w:val="00694060"/>
    <w:rsid w:val="006A7889"/>
    <w:rsid w:val="006D5157"/>
    <w:rsid w:val="006E5525"/>
    <w:rsid w:val="00700A81"/>
    <w:rsid w:val="0071703A"/>
    <w:rsid w:val="00737793"/>
    <w:rsid w:val="00780605"/>
    <w:rsid w:val="007B5445"/>
    <w:rsid w:val="007D4705"/>
    <w:rsid w:val="00841C58"/>
    <w:rsid w:val="00886F44"/>
    <w:rsid w:val="00893705"/>
    <w:rsid w:val="00897063"/>
    <w:rsid w:val="00897DC8"/>
    <w:rsid w:val="008D7B33"/>
    <w:rsid w:val="009174E5"/>
    <w:rsid w:val="00941849"/>
    <w:rsid w:val="0094506C"/>
    <w:rsid w:val="009672E8"/>
    <w:rsid w:val="009919F4"/>
    <w:rsid w:val="00A10831"/>
    <w:rsid w:val="00A42FBB"/>
    <w:rsid w:val="00A43663"/>
    <w:rsid w:val="00A84340"/>
    <w:rsid w:val="00AB213F"/>
    <w:rsid w:val="00AC06C0"/>
    <w:rsid w:val="00B35383"/>
    <w:rsid w:val="00BE27ED"/>
    <w:rsid w:val="00BF7D4F"/>
    <w:rsid w:val="00C139F9"/>
    <w:rsid w:val="00C621C3"/>
    <w:rsid w:val="00C65F66"/>
    <w:rsid w:val="00D11507"/>
    <w:rsid w:val="00D339EA"/>
    <w:rsid w:val="00D43158"/>
    <w:rsid w:val="00D96737"/>
    <w:rsid w:val="00DC0E79"/>
    <w:rsid w:val="00DF0284"/>
    <w:rsid w:val="00E27579"/>
    <w:rsid w:val="00E614B9"/>
    <w:rsid w:val="00EC7682"/>
    <w:rsid w:val="00ED7770"/>
    <w:rsid w:val="00EF4814"/>
    <w:rsid w:val="00F00724"/>
    <w:rsid w:val="00F55374"/>
    <w:rsid w:val="00F70A40"/>
    <w:rsid w:val="00F82611"/>
    <w:rsid w:val="00FA0FBE"/>
    <w:rsid w:val="00FD709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EA"/>
    <w:pPr>
      <w:spacing w:after="200" w:line="276" w:lineRule="auto"/>
    </w:pPr>
    <w:rPr>
      <w:rFonts w:ascii="Times New Roman" w:hAnsi="Times New Roman" w:cs="Times New Roman"/>
      <w:sz w:val="24"/>
    </w:rPr>
  </w:style>
  <w:style w:type="paragraph" w:styleId="Heading1">
    <w:name w:val="heading 1"/>
    <w:basedOn w:val="Normal"/>
    <w:next w:val="Normal"/>
    <w:link w:val="Heading1Char"/>
    <w:uiPriority w:val="9"/>
    <w:qFormat/>
    <w:rsid w:val="00C65F6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C65F66"/>
    <w:pPr>
      <w:spacing w:before="100" w:beforeAutospacing="1" w:after="100" w:afterAutospacing="1" w:line="240" w:lineRule="auto"/>
      <w:outlineLvl w:val="1"/>
    </w:pPr>
    <w:rPr>
      <w:rFonts w:eastAsia="Times New Roman"/>
      <w:b/>
      <w:bCs/>
      <w:sz w:val="36"/>
      <w:szCs w:val="36"/>
      <w:lang w:eastAsia="zh-TW"/>
    </w:rPr>
  </w:style>
  <w:style w:type="paragraph" w:styleId="Heading3">
    <w:name w:val="heading 3"/>
    <w:basedOn w:val="Normal"/>
    <w:next w:val="Normal"/>
    <w:link w:val="Heading3Char"/>
    <w:uiPriority w:val="9"/>
    <w:unhideWhenUsed/>
    <w:qFormat/>
    <w:rsid w:val="00E614B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E47"/>
    <w:pPr>
      <w:spacing w:before="100" w:beforeAutospacing="1" w:after="100" w:afterAutospacing="1" w:line="240" w:lineRule="auto"/>
    </w:pPr>
    <w:rPr>
      <w:rFonts w:eastAsia="Times New Roman"/>
      <w:szCs w:val="24"/>
      <w:lang w:eastAsia="zh-TW"/>
    </w:rPr>
  </w:style>
  <w:style w:type="character" w:customStyle="1" w:styleId="Heading2Char">
    <w:name w:val="Heading 2 Char"/>
    <w:basedOn w:val="DefaultParagraphFont"/>
    <w:link w:val="Heading2"/>
    <w:uiPriority w:val="9"/>
    <w:rsid w:val="00C65F66"/>
    <w:rPr>
      <w:rFonts w:ascii="Times New Roman" w:eastAsia="Times New Roman" w:hAnsi="Times New Roman" w:cs="Times New Roman"/>
      <w:b/>
      <w:bCs/>
      <w:sz w:val="36"/>
      <w:szCs w:val="36"/>
      <w:lang w:eastAsia="zh-TW"/>
    </w:rPr>
  </w:style>
  <w:style w:type="character" w:styleId="Hyperlink">
    <w:name w:val="Hyperlink"/>
    <w:basedOn w:val="DefaultParagraphFont"/>
    <w:uiPriority w:val="99"/>
    <w:unhideWhenUsed/>
    <w:rsid w:val="00C65F66"/>
    <w:rPr>
      <w:color w:val="0563C1" w:themeColor="hyperlink"/>
      <w:u w:val="single"/>
    </w:rPr>
  </w:style>
  <w:style w:type="character" w:customStyle="1" w:styleId="Heading1Char">
    <w:name w:val="Heading 1 Char"/>
    <w:basedOn w:val="DefaultParagraphFont"/>
    <w:link w:val="Heading1"/>
    <w:uiPriority w:val="9"/>
    <w:rsid w:val="00C65F66"/>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C65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F66"/>
    <w:rPr>
      <w:rFonts w:ascii="Tahoma" w:hAnsi="Tahoma" w:cs="Tahoma"/>
      <w:sz w:val="16"/>
      <w:szCs w:val="16"/>
    </w:rPr>
  </w:style>
  <w:style w:type="character" w:styleId="Emphasis">
    <w:name w:val="Emphasis"/>
    <w:basedOn w:val="DefaultParagraphFont"/>
    <w:uiPriority w:val="20"/>
    <w:qFormat/>
    <w:rsid w:val="00D11507"/>
    <w:rPr>
      <w:i/>
      <w:iCs/>
    </w:rPr>
  </w:style>
  <w:style w:type="character" w:styleId="Strong">
    <w:name w:val="Strong"/>
    <w:basedOn w:val="DefaultParagraphFont"/>
    <w:uiPriority w:val="22"/>
    <w:qFormat/>
    <w:rsid w:val="00D11507"/>
    <w:rPr>
      <w:b/>
      <w:bCs/>
    </w:rPr>
  </w:style>
  <w:style w:type="character" w:customStyle="1" w:styleId="Heading3Char">
    <w:name w:val="Heading 3 Char"/>
    <w:basedOn w:val="DefaultParagraphFont"/>
    <w:link w:val="Heading3"/>
    <w:uiPriority w:val="9"/>
    <w:rsid w:val="00E614B9"/>
    <w:rPr>
      <w:rFonts w:asciiTheme="majorHAnsi" w:eastAsiaTheme="majorEastAsia" w:hAnsiTheme="majorHAnsi" w:cstheme="majorBidi"/>
      <w:b/>
      <w:bCs/>
      <w:color w:val="5B9BD5" w:themeColor="accent1"/>
      <w:sz w:val="24"/>
    </w:rPr>
  </w:style>
  <w:style w:type="paragraph" w:styleId="Subtitle">
    <w:name w:val="Subtitle"/>
    <w:basedOn w:val="Normal"/>
    <w:next w:val="Normal"/>
    <w:link w:val="SubtitleChar"/>
    <w:uiPriority w:val="11"/>
    <w:qFormat/>
    <w:rsid w:val="00E614B9"/>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E614B9"/>
    <w:rPr>
      <w:rFonts w:asciiTheme="majorHAnsi" w:eastAsiaTheme="majorEastAsia" w:hAnsiTheme="majorHAnsi" w:cstheme="majorBidi"/>
      <w:i/>
      <w:iCs/>
      <w:color w:val="5B9BD5" w:themeColor="accent1"/>
      <w:spacing w:val="15"/>
      <w:sz w:val="24"/>
      <w:szCs w:val="24"/>
    </w:rPr>
  </w:style>
  <w:style w:type="paragraph" w:styleId="Header">
    <w:name w:val="header"/>
    <w:basedOn w:val="Normal"/>
    <w:link w:val="HeaderChar"/>
    <w:uiPriority w:val="99"/>
    <w:semiHidden/>
    <w:unhideWhenUsed/>
    <w:rsid w:val="00E614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14B9"/>
    <w:rPr>
      <w:rFonts w:ascii="Times New Roman" w:hAnsi="Times New Roman" w:cs="Times New Roman"/>
      <w:sz w:val="24"/>
    </w:rPr>
  </w:style>
  <w:style w:type="paragraph" w:styleId="Footer">
    <w:name w:val="footer"/>
    <w:basedOn w:val="Normal"/>
    <w:link w:val="FooterChar"/>
    <w:uiPriority w:val="99"/>
    <w:semiHidden/>
    <w:unhideWhenUsed/>
    <w:rsid w:val="00E614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14B9"/>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371000622">
      <w:bodyDiv w:val="1"/>
      <w:marLeft w:val="0"/>
      <w:marRight w:val="0"/>
      <w:marTop w:val="0"/>
      <w:marBottom w:val="0"/>
      <w:divBdr>
        <w:top w:val="none" w:sz="0" w:space="0" w:color="auto"/>
        <w:left w:val="none" w:sz="0" w:space="0" w:color="auto"/>
        <w:bottom w:val="none" w:sz="0" w:space="0" w:color="auto"/>
        <w:right w:val="none" w:sz="0" w:space="0" w:color="auto"/>
      </w:divBdr>
    </w:div>
    <w:div w:id="531575943">
      <w:bodyDiv w:val="1"/>
      <w:marLeft w:val="0"/>
      <w:marRight w:val="0"/>
      <w:marTop w:val="0"/>
      <w:marBottom w:val="0"/>
      <w:divBdr>
        <w:top w:val="none" w:sz="0" w:space="0" w:color="auto"/>
        <w:left w:val="none" w:sz="0" w:space="0" w:color="auto"/>
        <w:bottom w:val="none" w:sz="0" w:space="0" w:color="auto"/>
        <w:right w:val="none" w:sz="0" w:space="0" w:color="auto"/>
      </w:divBdr>
      <w:divsChild>
        <w:div w:id="656350094">
          <w:marLeft w:val="0"/>
          <w:marRight w:val="0"/>
          <w:marTop w:val="0"/>
          <w:marBottom w:val="0"/>
          <w:divBdr>
            <w:top w:val="none" w:sz="0" w:space="0" w:color="auto"/>
            <w:left w:val="none" w:sz="0" w:space="0" w:color="auto"/>
            <w:bottom w:val="none" w:sz="0" w:space="0" w:color="auto"/>
            <w:right w:val="none" w:sz="0" w:space="0" w:color="auto"/>
          </w:divBdr>
        </w:div>
      </w:divsChild>
    </w:div>
    <w:div w:id="847721246">
      <w:bodyDiv w:val="1"/>
      <w:marLeft w:val="0"/>
      <w:marRight w:val="0"/>
      <w:marTop w:val="0"/>
      <w:marBottom w:val="0"/>
      <w:divBdr>
        <w:top w:val="none" w:sz="0" w:space="0" w:color="auto"/>
        <w:left w:val="none" w:sz="0" w:space="0" w:color="auto"/>
        <w:bottom w:val="none" w:sz="0" w:space="0" w:color="auto"/>
        <w:right w:val="none" w:sz="0" w:space="0" w:color="auto"/>
      </w:divBdr>
      <w:divsChild>
        <w:div w:id="676036485">
          <w:marLeft w:val="0"/>
          <w:marRight w:val="0"/>
          <w:marTop w:val="0"/>
          <w:marBottom w:val="0"/>
          <w:divBdr>
            <w:top w:val="none" w:sz="0" w:space="0" w:color="auto"/>
            <w:left w:val="none" w:sz="0" w:space="0" w:color="auto"/>
            <w:bottom w:val="none" w:sz="0" w:space="0" w:color="auto"/>
            <w:right w:val="none" w:sz="0" w:space="0" w:color="auto"/>
          </w:divBdr>
          <w:divsChild>
            <w:div w:id="18754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68726">
      <w:bodyDiv w:val="1"/>
      <w:marLeft w:val="0"/>
      <w:marRight w:val="0"/>
      <w:marTop w:val="0"/>
      <w:marBottom w:val="0"/>
      <w:divBdr>
        <w:top w:val="none" w:sz="0" w:space="0" w:color="auto"/>
        <w:left w:val="none" w:sz="0" w:space="0" w:color="auto"/>
        <w:bottom w:val="none" w:sz="0" w:space="0" w:color="auto"/>
        <w:right w:val="none" w:sz="0" w:space="0" w:color="auto"/>
      </w:divBdr>
    </w:div>
    <w:div w:id="2111733154">
      <w:bodyDiv w:val="1"/>
      <w:marLeft w:val="0"/>
      <w:marRight w:val="0"/>
      <w:marTop w:val="0"/>
      <w:marBottom w:val="0"/>
      <w:divBdr>
        <w:top w:val="none" w:sz="0" w:space="0" w:color="auto"/>
        <w:left w:val="none" w:sz="0" w:space="0" w:color="auto"/>
        <w:bottom w:val="none" w:sz="0" w:space="0" w:color="auto"/>
        <w:right w:val="none" w:sz="0" w:space="0" w:color="auto"/>
      </w:divBdr>
      <w:divsChild>
        <w:div w:id="91439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hyperlink" Target="http://www.sxcoal.com/site/index/en"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hyperlink" Target="http://www.twitter.com/aexeqb" TargetMode="External"/><Relationship Id="rId17" Type="http://schemas.openxmlformats.org/officeDocument/2006/relationships/hyperlink" Target="https://en.wikipedia.org/wiki/Bulk_carrier" TargetMode="External"/><Relationship Id="rId2" Type="http://schemas.openxmlformats.org/officeDocument/2006/relationships/settings" Target="settings.xml"/><Relationship Id="rId16" Type="http://schemas.openxmlformats.org/officeDocument/2006/relationships/hyperlink" Target="https://www.searates.com" TargetMode="External"/><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yperlink" Target="https://www.worldcoal.org/" TargetMode="External"/><Relationship Id="rId23" Type="http://schemas.openxmlformats.org/officeDocument/2006/relationships/theme" Target="theme/theme1.xml"/><Relationship Id="rId10" Type="http://schemas.openxmlformats.org/officeDocument/2006/relationships/hyperlink" Target="http://www.sxcoal.com/news/4550071/info/en" TargetMode="Externa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hyperlink" Target="http://www.otcmarkets.com/stock/AEXE/news/AIM%20Exploration%20Inc.%20%28OTCQB:AEXE%29%20is%20pleased%20to%20provide%20a%20comprehensive%20background%20and%20update%20as%20of%20Fall%202016AIM%20Exploration%20Inc.%20was%20originally%20formed%20with%20the%20objective%20to%20develop%20a%20Feldspar%20mine%20in%20the%20Philippines%20and%20source%20other%20valuable%20mining%20properties%20worldwide.%20In%20mid%202014%20AIM%20acquired%20what%20is%20considered%20a%20rich%20anthracite%20coal%20mining%20concessions%20in%20Peru%20from%20Percana%20Mining%20Corp.,%20a%20privately%20held%20company.%20AIM%20continued%20to%20look%20at%20and%20consider%20other%20properties%20however%20none%20of%20the%20other%20properties%20AIM%20reviewed%20had%20the%20long%20term%20profitability%20potential%20AIM%20was%20looking%20for.%20During%20this%20period%20AIM%20continued%20to%20operate%20the%20Feldspar%20properties%20in%20the%20Philippines%20however%20in%202016%20the%20change%20within%20the%20government%20in%20the%20Philippines%20made%20significant%20changes%20to%20mining%20laws%20which%20AIM%20studied%20and%20after%20careful%20consideration%20elected%20to%20cease%20all%20operations%20in%20the%20Philippines%20and%20concentrate%20all%20efforts%20and%20resources%20on%20the%20Peruvian%20properties%20in%20view%20of%20the%20high%20profit%20potential.%20As%20stated%20above%20in%20mid%202014,%20Aim%20Exploration,%20Inc.%20entered%20into%20a%20Mining%20Concession%20Asset%20Acquisition%20Agreement%20with%20Percana%20Mining%20Corp..%20Through%20this%20acquisition%20AIM%20acquired%20ownership/control%20over%201,000%20hectares%20of%20mining%20concessions%20located%20in%20Peru.%20Prior%20the%20completion%20of%20the%20acquisition%20AIM%20hired%20a%20USA%20geologist/%20mining%20engineer%20%28Mr.%20Karl%20Gurr%20of%20Gustafson%20and%20associates%29%20to%20complete%20a%20site%20visit%20and%20review%20the%20previous%20documentation%20and%20reports%20previously%20obtained%20by%20Percana%20Mining%20Corp.%20Mr.%20Gurr%20provided%20a%20detailed%20report%20to%20AIM%20and%20based%20on%20this%20repor" TargetMode="External"/><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witter.com/aexeqb" TargetMode="External"/><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MurphyDen</dc:creator>
  <cp:lastModifiedBy>MurphyDen</cp:lastModifiedBy>
  <cp:revision>2</cp:revision>
  <dcterms:created xsi:type="dcterms:W3CDTF">2016-12-19T01:40:00Z</dcterms:created>
  <dcterms:modified xsi:type="dcterms:W3CDTF">2016-12-19T01:40:00Z</dcterms:modified>
</cp:coreProperties>
</file>